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336576968"/>
        <w:docPartObj>
          <w:docPartGallery w:val="Cover Pages"/>
          <w:docPartUnique/>
        </w:docPartObj>
      </w:sdtPr>
      <w:sdtContent>
        <w:p w14:paraId="6BFB889C" w14:textId="6DF3B34C" w:rsidR="007A3D12" w:rsidRPr="00BD5805" w:rsidRDefault="007A3D12">
          <w:r>
            <w:rPr>
              <w:noProof/>
              <w:sz w:val="36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563FD104" wp14:editId="138BCF73">
                    <wp:simplePos x="0" y="0"/>
                    <wp:positionH relativeFrom="column">
                      <wp:posOffset>-187325</wp:posOffset>
                    </wp:positionH>
                    <wp:positionV relativeFrom="paragraph">
                      <wp:posOffset>-1445260</wp:posOffset>
                    </wp:positionV>
                    <wp:extent cx="5209540" cy="2719705"/>
                    <wp:effectExtent l="0" t="0" r="0" b="0"/>
                    <wp:wrapNone/>
                    <wp:docPr id="20" name="Text Box 2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209540" cy="271970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691A027" w14:textId="77777777" w:rsidR="00506DA4" w:rsidRDefault="00506DA4" w:rsidP="00506DA4">
                                <w:pP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color w:val="15234A"/>
                                    <w:spacing w:val="-10"/>
                                    <w:kern w:val="28"/>
                                    <w:sz w:val="60"/>
                                    <w:szCs w:val="56"/>
                                  </w:rPr>
                                </w:pPr>
                              </w:p>
                              <w:p w14:paraId="330DB3E5" w14:textId="37453F13" w:rsidR="00506DA4" w:rsidRPr="008F4ABD" w:rsidRDefault="00506DA4" w:rsidP="00506DA4">
                                <w:pP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color w:val="15234A"/>
                                    <w:spacing w:val="-10"/>
                                    <w:kern w:val="28"/>
                                    <w:sz w:val="60"/>
                                    <w:szCs w:val="56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color w:val="15234A"/>
                                    <w:spacing w:val="-10"/>
                                    <w:kern w:val="28"/>
                                    <w:sz w:val="60"/>
                                    <w:szCs w:val="56"/>
                                  </w:rPr>
                                  <w:t>Key note</w:t>
                                </w:r>
                              </w:p>
                              <w:p w14:paraId="51A00FE0" w14:textId="4F577F1B" w:rsidR="00506DA4" w:rsidRDefault="008F4ABD" w:rsidP="00506DA4">
                                <w:pPr>
                                  <w:pStyle w:val="Title"/>
                                </w:pPr>
                                <w:r>
                                  <w:t>Market Consultation 6</w:t>
                                </w:r>
                                <w:r w:rsidR="00D67326">
                                  <w:t>6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9144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63FD104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0" o:spid="_x0000_s1026" type="#_x0000_t202" style="position:absolute;margin-left:-14.75pt;margin-top:-113.8pt;width:410.2pt;height:214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" filled="f" stroked="f" strokeweight=".5pt">
                    <v:textbox inset="0">
                      <w:txbxContent>
                        <w:p w14:paraId="7691A027" w14:textId="77777777" w:rsidR="00506DA4" w:rsidRDefault="00506DA4" w:rsidP="00506DA4">
                          <w:pPr>
                            <w:rPr>
                              <w:rFonts w:asciiTheme="majorHAnsi" w:eastAsiaTheme="majorEastAsia" w:hAnsiTheme="majorHAnsi" w:cstheme="majorBidi"/>
                              <w:b/>
                              <w:color w:val="15234A"/>
                              <w:spacing w:val="-10"/>
                              <w:kern w:val="28"/>
                              <w:sz w:val="60"/>
                              <w:szCs w:val="56"/>
                            </w:rPr>
                          </w:pPr>
                        </w:p>
                        <w:p w14:paraId="330DB3E5" w14:textId="37453F13" w:rsidR="00506DA4" w:rsidRPr="008F4ABD" w:rsidRDefault="00506DA4" w:rsidP="00506DA4">
                          <w:pPr>
                            <w:rPr>
                              <w:rFonts w:asciiTheme="majorHAnsi" w:eastAsiaTheme="majorEastAsia" w:hAnsiTheme="majorHAnsi" w:cstheme="majorBidi"/>
                              <w:b/>
                              <w:color w:val="15234A"/>
                              <w:spacing w:val="-10"/>
                              <w:kern w:val="28"/>
                              <w:sz w:val="60"/>
                              <w:szCs w:val="56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  <w:b/>
                              <w:color w:val="15234A"/>
                              <w:spacing w:val="-10"/>
                              <w:kern w:val="28"/>
                              <w:sz w:val="60"/>
                              <w:szCs w:val="56"/>
                            </w:rPr>
                            <w:t>Key note</w:t>
                          </w:r>
                        </w:p>
                        <w:p w14:paraId="51A00FE0" w14:textId="4F577F1B" w:rsidR="00506DA4" w:rsidRDefault="008F4ABD" w:rsidP="00506DA4">
                          <w:pPr>
                            <w:pStyle w:val="Title"/>
                          </w:pPr>
                          <w:r>
                            <w:t>Market Consultation 6</w:t>
                          </w:r>
                          <w:r w:rsidR="00D67326">
                            <w:t>6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</w:rPr>
            <w:drawing>
              <wp:anchor distT="0" distB="0" distL="114300" distR="114300" simplePos="0" relativeHeight="251658242" behindDoc="0" locked="0" layoutInCell="1" allowOverlap="1" wp14:anchorId="3568ECE8" wp14:editId="15555002">
                <wp:simplePos x="0" y="0"/>
                <wp:positionH relativeFrom="column">
                  <wp:posOffset>3276600</wp:posOffset>
                </wp:positionH>
                <wp:positionV relativeFrom="page">
                  <wp:posOffset>8376285</wp:posOffset>
                </wp:positionV>
                <wp:extent cx="2529840" cy="1379855"/>
                <wp:effectExtent l="0" t="0" r="0" b="0"/>
                <wp:wrapNone/>
                <wp:docPr id="21" name="Picture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rand-wit_logo_wit.png"/>
                        <pic:cNvPicPr/>
                      </pic:nvPicPr>
                      <pic:blipFill>
                        <a:blip r:embed="rId11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9840" cy="13798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sz w:val="36"/>
            </w:rPr>
            <w:drawing>
              <wp:anchor distT="0" distB="0" distL="114300" distR="114300" simplePos="0" relativeHeight="251658243" behindDoc="1" locked="0" layoutInCell="1" allowOverlap="1" wp14:anchorId="04EB1A65" wp14:editId="4A605AF9">
                <wp:simplePos x="0" y="0"/>
                <wp:positionH relativeFrom="column">
                  <wp:posOffset>-187960</wp:posOffset>
                </wp:positionH>
                <wp:positionV relativeFrom="page">
                  <wp:posOffset>2246630</wp:posOffset>
                </wp:positionV>
                <wp:extent cx="493200" cy="219600"/>
                <wp:effectExtent l="0" t="0" r="2540" b="9525"/>
                <wp:wrapTight wrapText="bothSides">
                  <wp:wrapPolygon edited="0">
                    <wp:start x="0" y="0"/>
                    <wp:lineTo x="0" y="20661"/>
                    <wp:lineTo x="20876" y="20661"/>
                    <wp:lineTo x="20876" y="0"/>
                    <wp:lineTo x="0" y="0"/>
                  </wp:wrapPolygon>
                </wp:wrapTight>
                <wp:docPr id="22" name="Pictur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1" name="lijntjes.png"/>
                        <pic:cNvPicPr/>
                      </pic:nvPicPr>
                      <pic:blipFill>
                        <a:blip r:embed="rId12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3200" cy="219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63D9831E" w14:textId="3932583B" w:rsidR="0070772E" w:rsidRDefault="00F32653" w:rsidP="00925DDE">
          <w:r>
            <w:rPr>
              <w:noProof/>
              <w:sz w:val="36"/>
            </w:rPr>
            <mc:AlternateContent>
              <mc:Choice Requires="wps">
                <w:drawing>
                  <wp:anchor distT="0" distB="0" distL="114300" distR="114300" simplePos="0" relativeHeight="251658241" behindDoc="0" locked="0" layoutInCell="1" allowOverlap="1" wp14:anchorId="4FB96012" wp14:editId="543DB82D">
                    <wp:simplePos x="0" y="0"/>
                    <wp:positionH relativeFrom="column">
                      <wp:posOffset>-204012</wp:posOffset>
                    </wp:positionH>
                    <wp:positionV relativeFrom="paragraph">
                      <wp:posOffset>1341754</wp:posOffset>
                    </wp:positionV>
                    <wp:extent cx="4944110" cy="1284413"/>
                    <wp:effectExtent l="0" t="0" r="0" b="0"/>
                    <wp:wrapNone/>
                    <wp:docPr id="19" name="Text Box 1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944110" cy="128441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B9EC5F0" w14:textId="198DF19A" w:rsidR="007A3D12" w:rsidRPr="003C2747" w:rsidRDefault="00D67326">
                                <w:pPr>
                                  <w:pStyle w:val="Subtitle"/>
                                </w:pPr>
                                <w:r>
                                  <w:t xml:space="preserve">Update for the injection of </w:t>
                                </w:r>
                                <w:r w:rsidR="00F32653">
                                  <w:t>compatible and non compatible gases in the methane network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4FB96012" id="Text Box 19" o:spid="_x0000_s1027" type="#_x0000_t202" style="position:absolute;margin-left:-16.05pt;margin-top:105.65pt;width:389.3pt;height:101.1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" filled="f" stroked="f" strokeweight=".5pt">
                    <v:textbox inset="0">
                      <w:txbxContent>
                        <w:p w14:paraId="3B9EC5F0" w14:textId="198DF19A" w:rsidR="007A3D12" w:rsidRPr="003C2747" w:rsidRDefault="00D67326">
                          <w:pPr>
                            <w:pStyle w:val="Subtitle"/>
                          </w:pPr>
                          <w:r>
                            <w:t xml:space="preserve">Update for the injection of </w:t>
                          </w:r>
                          <w:r w:rsidR="00F32653">
                            <w:t>compatible and non compatible gases in the methane network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7A3D12">
            <w:rPr>
              <w:noProof/>
            </w:rPr>
            <w:drawing>
              <wp:anchor distT="0" distB="0" distL="114300" distR="114300" simplePos="0" relativeHeight="251658244" behindDoc="1" locked="0" layoutInCell="1" allowOverlap="1" wp14:anchorId="6D8EEAD4" wp14:editId="1ED3C832">
                <wp:simplePos x="0" y="0"/>
                <wp:positionH relativeFrom="margin">
                  <wp:posOffset>1034415</wp:posOffset>
                </wp:positionH>
                <wp:positionV relativeFrom="paragraph">
                  <wp:posOffset>2462530</wp:posOffset>
                </wp:positionV>
                <wp:extent cx="4876800" cy="6430068"/>
                <wp:effectExtent l="0" t="0" r="0" b="8890"/>
                <wp:wrapNone/>
                <wp:docPr id="23" name="Picture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76800" cy="64300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7A3D12">
            <w:br w:type="page"/>
          </w:r>
        </w:p>
      </w:sdtContent>
    </w:sdt>
    <w:p w14:paraId="4AE82834" w14:textId="77777777" w:rsidR="001049C9" w:rsidRDefault="0070772E" w:rsidP="00E90A96">
      <w:pPr>
        <w:jc w:val="both"/>
      </w:pPr>
      <w:r>
        <w:lastRenderedPageBreak/>
        <w:t>In a continuous effort to further improve its</w:t>
      </w:r>
      <w:r w:rsidR="008B64CD">
        <w:t xml:space="preserve"> service offering for </w:t>
      </w:r>
      <w:r w:rsidR="00281A22">
        <w:t>network</w:t>
      </w:r>
      <w:r w:rsidR="008B64CD">
        <w:t xml:space="preserve"> </w:t>
      </w:r>
      <w:r w:rsidR="00BB2AD1">
        <w:t>u</w:t>
      </w:r>
      <w:r w:rsidR="008B64CD">
        <w:t xml:space="preserve">sers, Fluxys </w:t>
      </w:r>
      <w:r w:rsidR="00281A22">
        <w:t>Belgium</w:t>
      </w:r>
      <w:r w:rsidR="008B64CD">
        <w:t xml:space="preserve"> is submitting </w:t>
      </w:r>
      <w:r w:rsidR="00B2433E">
        <w:t xml:space="preserve">changes to its </w:t>
      </w:r>
      <w:r w:rsidR="001049C9">
        <w:t>regulatory documents</w:t>
      </w:r>
      <w:r w:rsidR="00B2433E">
        <w:t xml:space="preserve"> </w:t>
      </w:r>
      <w:r w:rsidR="008B64CD">
        <w:t>for consultation</w:t>
      </w:r>
      <w:r w:rsidR="001049C9">
        <w:t>.</w:t>
      </w:r>
    </w:p>
    <w:p w14:paraId="209CD4AD" w14:textId="37502CC9" w:rsidR="00F57548" w:rsidRDefault="00156BC0" w:rsidP="00E90A96">
      <w:pPr>
        <w:jc w:val="both"/>
      </w:pPr>
      <w:r>
        <w:t xml:space="preserve">The following changes relate to the injection of compatible and non compatible gases in the methane network : </w:t>
      </w:r>
      <w:r w:rsidR="00C25627">
        <w:t xml:space="preserve"> </w:t>
      </w:r>
    </w:p>
    <w:p w14:paraId="7C9812E9" w14:textId="18444A80" w:rsidR="00EF19A4" w:rsidRDefault="00E72FBE" w:rsidP="00F57548">
      <w:pPr>
        <w:pStyle w:val="ListParagraph"/>
        <w:numPr>
          <w:ilvl w:val="0"/>
          <w:numId w:val="15"/>
        </w:numPr>
        <w:jc w:val="both"/>
      </w:pPr>
      <w:r>
        <w:t>Introducing the new domestic points for injection</w:t>
      </w:r>
    </w:p>
    <w:p w14:paraId="3CC07878" w14:textId="77777777" w:rsidR="001A57A7" w:rsidRDefault="001A57A7" w:rsidP="001A57A7">
      <w:pPr>
        <w:pStyle w:val="ListParagraph"/>
        <w:numPr>
          <w:ilvl w:val="0"/>
          <w:numId w:val="15"/>
        </w:numPr>
        <w:jc w:val="both"/>
      </w:pPr>
      <w:r>
        <w:t xml:space="preserve">introduction of a capacity type conditional for entry capacity at domestic points for injection </w:t>
      </w:r>
    </w:p>
    <w:p w14:paraId="43A77467" w14:textId="4621593A" w:rsidR="00F57548" w:rsidRDefault="00C54598" w:rsidP="00F57548">
      <w:pPr>
        <w:pStyle w:val="ListParagraph"/>
        <w:numPr>
          <w:ilvl w:val="0"/>
          <w:numId w:val="15"/>
        </w:numPr>
        <w:jc w:val="both"/>
      </w:pPr>
      <w:r>
        <w:t>review</w:t>
      </w:r>
      <w:r w:rsidR="00EF19A4">
        <w:t>ing</w:t>
      </w:r>
      <w:r>
        <w:t xml:space="preserve"> of the quality conversion to H service</w:t>
      </w:r>
      <w:r w:rsidR="00D87732">
        <w:t xml:space="preserve"> for the injection of H2NG blends and biomethane</w:t>
      </w:r>
      <w:r w:rsidR="00C25627">
        <w:t xml:space="preserve"> </w:t>
      </w:r>
    </w:p>
    <w:p w14:paraId="03170AC2" w14:textId="77777777" w:rsidR="00F57548" w:rsidRDefault="00F57548" w:rsidP="00F57548">
      <w:pPr>
        <w:pStyle w:val="ListParagraph"/>
        <w:numPr>
          <w:ilvl w:val="0"/>
          <w:numId w:val="15"/>
        </w:numPr>
        <w:jc w:val="both"/>
      </w:pPr>
      <w:r>
        <w:t>r</w:t>
      </w:r>
      <w:r w:rsidR="00293593">
        <w:t>educing the Wobbe Index range and i</w:t>
      </w:r>
      <w:r w:rsidR="00820732">
        <w:t>ntroducing</w:t>
      </w:r>
      <w:r w:rsidR="00AE1440">
        <w:t xml:space="preserve"> </w:t>
      </w:r>
      <w:r w:rsidR="00820732">
        <w:t>global and local</w:t>
      </w:r>
      <w:r w:rsidR="00AE1440">
        <w:t xml:space="preserve"> </w:t>
      </w:r>
      <w:r w:rsidR="00FE0833">
        <w:t>quality specification</w:t>
      </w:r>
      <w:r w:rsidR="00820732">
        <w:t xml:space="preserve">s at domestic points for injection </w:t>
      </w:r>
    </w:p>
    <w:p w14:paraId="7A02F346" w14:textId="7DF0977F" w:rsidR="003975D8" w:rsidRDefault="003975D8" w:rsidP="00156BC0">
      <w:pPr>
        <w:jc w:val="both"/>
      </w:pPr>
      <w:r>
        <w:t>The</w:t>
      </w:r>
      <w:r w:rsidR="00C378F7">
        <w:t>se are completed with the</w:t>
      </w:r>
      <w:r>
        <w:t xml:space="preserve"> following </w:t>
      </w:r>
      <w:r w:rsidR="00380054">
        <w:t xml:space="preserve">general </w:t>
      </w:r>
      <w:r>
        <w:t xml:space="preserve">changes </w:t>
      </w:r>
      <w:r w:rsidR="00380054">
        <w:t>:</w:t>
      </w:r>
    </w:p>
    <w:p w14:paraId="41AD4043" w14:textId="647E0FBA" w:rsidR="00F57548" w:rsidRDefault="00F57548" w:rsidP="00F57548">
      <w:pPr>
        <w:pStyle w:val="ListParagraph"/>
        <w:numPr>
          <w:ilvl w:val="0"/>
          <w:numId w:val="15"/>
        </w:numPr>
        <w:jc w:val="both"/>
      </w:pPr>
      <w:r>
        <w:t>s</w:t>
      </w:r>
      <w:r w:rsidR="007C73F1">
        <w:t>implifying the calculation for capacity exceeding</w:t>
      </w:r>
      <w:r w:rsidR="00B20DE3">
        <w:t xml:space="preserve"> fee</w:t>
      </w:r>
    </w:p>
    <w:p w14:paraId="52B2E850" w14:textId="4931646F" w:rsidR="00F57548" w:rsidRDefault="00F57548" w:rsidP="00F57548">
      <w:pPr>
        <w:pStyle w:val="ListParagraph"/>
        <w:numPr>
          <w:ilvl w:val="0"/>
          <w:numId w:val="15"/>
        </w:numPr>
        <w:jc w:val="both"/>
      </w:pPr>
      <w:r>
        <w:t>r</w:t>
      </w:r>
      <w:r w:rsidR="00CE48B2">
        <w:t>emoving all the references to OCUC</w:t>
      </w:r>
      <w:r w:rsidR="00DB0C94">
        <w:t>s</w:t>
      </w:r>
      <w:r w:rsidR="00CE48B2">
        <w:t xml:space="preserve"> and </w:t>
      </w:r>
      <w:r w:rsidR="0037283C">
        <w:t>w</w:t>
      </w:r>
      <w:r w:rsidR="00CE48B2">
        <w:t>heelings</w:t>
      </w:r>
      <w:r w:rsidR="00DB0C94">
        <w:t xml:space="preserve"> </w:t>
      </w:r>
    </w:p>
    <w:p w14:paraId="154C4A64" w14:textId="76FCDE98" w:rsidR="0005670A" w:rsidRDefault="0005670A" w:rsidP="00F57548">
      <w:pPr>
        <w:pStyle w:val="ListParagraph"/>
        <w:numPr>
          <w:ilvl w:val="0"/>
          <w:numId w:val="15"/>
        </w:numPr>
        <w:jc w:val="both"/>
      </w:pPr>
      <w:r>
        <w:t>removing reference</w:t>
      </w:r>
      <w:r w:rsidR="008B475D">
        <w:t>s to the Electronic Booking System (EBS)</w:t>
      </w:r>
    </w:p>
    <w:p w14:paraId="6959AAC7" w14:textId="1306B4F2" w:rsidR="008F4F1F" w:rsidRDefault="00F57548" w:rsidP="00080A78">
      <w:pPr>
        <w:pStyle w:val="ListParagraph"/>
        <w:numPr>
          <w:ilvl w:val="0"/>
          <w:numId w:val="15"/>
        </w:numPr>
        <w:jc w:val="both"/>
      </w:pPr>
      <w:r>
        <w:t>m</w:t>
      </w:r>
      <w:r w:rsidR="00DC0B3C">
        <w:t>inor</w:t>
      </w:r>
      <w:r w:rsidR="00497945">
        <w:t xml:space="preserve"> changes to the </w:t>
      </w:r>
      <w:r w:rsidR="00080A78">
        <w:t xml:space="preserve">Standard </w:t>
      </w:r>
      <w:r w:rsidR="00BF2583">
        <w:t>Transmission</w:t>
      </w:r>
      <w:r w:rsidR="00497945">
        <w:t xml:space="preserve"> </w:t>
      </w:r>
      <w:r w:rsidR="00080A78">
        <w:t xml:space="preserve">Agreement and </w:t>
      </w:r>
      <w:r w:rsidR="00497945">
        <w:t>Access Code</w:t>
      </w:r>
      <w:r w:rsidR="000A5EB5">
        <w:t xml:space="preserve"> </w:t>
      </w:r>
      <w:r w:rsidR="00080A78">
        <w:t xml:space="preserve">and </w:t>
      </w:r>
      <w:r w:rsidR="00353E8D">
        <w:t xml:space="preserve">various minor </w:t>
      </w:r>
      <w:r w:rsidR="000A5EB5">
        <w:t>editorial changes</w:t>
      </w:r>
      <w:r w:rsidR="00E90A96">
        <w:t>.</w:t>
      </w:r>
    </w:p>
    <w:p w14:paraId="382997E0" w14:textId="77777777" w:rsidR="00EE1FB2" w:rsidRDefault="006D59F4" w:rsidP="00380054">
      <w:pPr>
        <w:jc w:val="both"/>
      </w:pPr>
      <w:r>
        <w:t>For the sake of completeness, p</w:t>
      </w:r>
      <w:r w:rsidR="00380054">
        <w:t xml:space="preserve">lease note that </w:t>
      </w:r>
      <w:r w:rsidR="00A5384D">
        <w:t>another consultation shall be organized</w:t>
      </w:r>
      <w:r w:rsidR="00380054">
        <w:t xml:space="preserve"> </w:t>
      </w:r>
      <w:r w:rsidR="00A5384D">
        <w:t>in Q1</w:t>
      </w:r>
      <w:r w:rsidR="00380054">
        <w:t xml:space="preserve"> 2024 </w:t>
      </w:r>
      <w:r w:rsidR="00A3733D">
        <w:t>to complete the service offering for the injection of compatible and non compatible gases in</w:t>
      </w:r>
      <w:r w:rsidR="00B100A5">
        <w:t>to</w:t>
      </w:r>
      <w:r w:rsidR="00A3733D">
        <w:t xml:space="preserve"> the methane network</w:t>
      </w:r>
      <w:r w:rsidR="003802C2">
        <w:t xml:space="preserve">. </w:t>
      </w:r>
      <w:r>
        <w:t>This consultation</w:t>
      </w:r>
      <w:r w:rsidR="00380054">
        <w:t xml:space="preserve"> shall include </w:t>
      </w:r>
    </w:p>
    <w:p w14:paraId="56552DE0" w14:textId="5673D79F" w:rsidR="00EE1FB2" w:rsidRDefault="00EE1FB2" w:rsidP="00FF02F2">
      <w:pPr>
        <w:pStyle w:val="ListParagraph"/>
        <w:numPr>
          <w:ilvl w:val="0"/>
          <w:numId w:val="17"/>
        </w:numPr>
        <w:jc w:val="both"/>
      </w:pPr>
      <w:r>
        <w:t xml:space="preserve">STA/ACT : </w:t>
      </w:r>
      <w:r w:rsidR="00C751F3">
        <w:t>a</w:t>
      </w:r>
      <w:r w:rsidR="00380054">
        <w:t xml:space="preserve"> gas booster service </w:t>
      </w:r>
      <w:r w:rsidR="00B100A5">
        <w:t>(for compression from the DSO network to the TSO network)</w:t>
      </w:r>
      <w:r w:rsidR="00134999">
        <w:t xml:space="preserve"> and </w:t>
      </w:r>
      <w:r w:rsidR="00C751F3">
        <w:t>the</w:t>
      </w:r>
      <w:r w:rsidR="00B100A5">
        <w:t xml:space="preserve"> related</w:t>
      </w:r>
      <w:r w:rsidR="00380054">
        <w:t xml:space="preserve"> tariff </w:t>
      </w:r>
      <w:r w:rsidR="00134999">
        <w:t xml:space="preserve">; </w:t>
      </w:r>
    </w:p>
    <w:p w14:paraId="36C25559" w14:textId="49152039" w:rsidR="00EE1FB2" w:rsidRDefault="00EE1FB2" w:rsidP="00FF02F2">
      <w:pPr>
        <w:pStyle w:val="ListParagraph"/>
        <w:numPr>
          <w:ilvl w:val="0"/>
          <w:numId w:val="17"/>
        </w:numPr>
        <w:jc w:val="both"/>
      </w:pPr>
      <w:r>
        <w:t xml:space="preserve">Connection </w:t>
      </w:r>
      <w:r w:rsidR="00C751F3">
        <w:t>a</w:t>
      </w:r>
      <w:r>
        <w:t xml:space="preserve">greement end user : </w:t>
      </w:r>
      <w:r w:rsidR="00134999">
        <w:t>a</w:t>
      </w:r>
      <w:r w:rsidR="007E7B8D">
        <w:t xml:space="preserve"> new obligation from the TSO to inform </w:t>
      </w:r>
      <w:r w:rsidR="004B41BC">
        <w:t xml:space="preserve">in advance </w:t>
      </w:r>
      <w:r w:rsidR="007E7B8D">
        <w:t xml:space="preserve">the relevant end users in case a local producer connects to the grid </w:t>
      </w:r>
      <w:r>
        <w:t>;</w:t>
      </w:r>
    </w:p>
    <w:p w14:paraId="650F016B" w14:textId="770B6380" w:rsidR="00380054" w:rsidRDefault="00EE1FB2" w:rsidP="00FF02F2">
      <w:pPr>
        <w:pStyle w:val="ListParagraph"/>
        <w:numPr>
          <w:ilvl w:val="0"/>
          <w:numId w:val="17"/>
        </w:numPr>
        <w:jc w:val="both"/>
      </w:pPr>
      <w:r>
        <w:t xml:space="preserve">Connection </w:t>
      </w:r>
      <w:r w:rsidR="00380054">
        <w:t xml:space="preserve">agreement </w:t>
      </w:r>
      <w:r w:rsidR="004B41BC">
        <w:t>local producer</w:t>
      </w:r>
      <w:r w:rsidR="00380054">
        <w:t xml:space="preserve"> of non compatible gases</w:t>
      </w:r>
      <w:r>
        <w:t xml:space="preserve"> : new document</w:t>
      </w:r>
    </w:p>
    <w:p w14:paraId="631D58F8" w14:textId="0BB651B2" w:rsidR="008B59A1" w:rsidRDefault="008B59A1" w:rsidP="00E90A96">
      <w:pPr>
        <w:jc w:val="both"/>
      </w:pPr>
    </w:p>
    <w:p w14:paraId="69942FA4" w14:textId="14E78BCF" w:rsidR="00900C86" w:rsidRDefault="00900C86" w:rsidP="00A20963">
      <w:pPr>
        <w:pStyle w:val="ListParagraph"/>
        <w:numPr>
          <w:ilvl w:val="0"/>
          <w:numId w:val="8"/>
        </w:numPr>
        <w:jc w:val="both"/>
        <w:rPr>
          <w:rStyle w:val="Strong"/>
          <w:color w:val="15234A" w:themeColor="text2"/>
          <w:sz w:val="24"/>
          <w:szCs w:val="28"/>
        </w:rPr>
      </w:pPr>
      <w:r>
        <w:rPr>
          <w:rStyle w:val="Strong"/>
          <w:color w:val="15234A" w:themeColor="text2"/>
          <w:sz w:val="24"/>
          <w:szCs w:val="28"/>
        </w:rPr>
        <w:t>Introduction of domestic points for injection</w:t>
      </w:r>
    </w:p>
    <w:p w14:paraId="084513B4" w14:textId="179F9687" w:rsidR="00900C86" w:rsidRDefault="00900C86" w:rsidP="00900C86">
      <w:pPr>
        <w:jc w:val="both"/>
      </w:pPr>
      <w:r w:rsidRPr="00320FF2">
        <w:t xml:space="preserve">Domestic points for injection are the connection points at which </w:t>
      </w:r>
      <w:r w:rsidR="004A0B63" w:rsidRPr="00320FF2">
        <w:t>local producers connect to the transmission network</w:t>
      </w:r>
      <w:r w:rsidR="00462383">
        <w:t>.</w:t>
      </w:r>
    </w:p>
    <w:p w14:paraId="22A98E27" w14:textId="3D5610CF" w:rsidR="00462383" w:rsidRPr="00320FF2" w:rsidRDefault="00E82960" w:rsidP="00900C86">
      <w:pPr>
        <w:jc w:val="both"/>
      </w:pPr>
      <w:r>
        <w:t xml:space="preserve">Most of the characteristics of </w:t>
      </w:r>
      <w:r w:rsidR="001A57A7">
        <w:t xml:space="preserve">the </w:t>
      </w:r>
      <w:r>
        <w:t xml:space="preserve">domestic points for injection are the same as </w:t>
      </w:r>
      <w:r w:rsidR="001A57A7">
        <w:t xml:space="preserve">for the </w:t>
      </w:r>
      <w:r>
        <w:t xml:space="preserve">end user domestic points except </w:t>
      </w:r>
      <w:r w:rsidR="001A57A7">
        <w:t>that entry service is offered instead of exit service.</w:t>
      </w:r>
    </w:p>
    <w:p w14:paraId="662EC141" w14:textId="2D91B17A" w:rsidR="006358AC" w:rsidRDefault="006358AC" w:rsidP="00F1711E">
      <w:pPr>
        <w:pStyle w:val="ListParagraph"/>
        <w:numPr>
          <w:ilvl w:val="0"/>
          <w:numId w:val="8"/>
        </w:numPr>
        <w:jc w:val="both"/>
        <w:rPr>
          <w:rStyle w:val="Strong"/>
          <w:color w:val="15234A" w:themeColor="text2"/>
          <w:sz w:val="24"/>
          <w:szCs w:val="28"/>
        </w:rPr>
      </w:pPr>
      <w:r>
        <w:rPr>
          <w:rStyle w:val="Strong"/>
          <w:color w:val="15234A" w:themeColor="text2"/>
          <w:sz w:val="24"/>
          <w:szCs w:val="28"/>
        </w:rPr>
        <w:t>Conditional capacity type</w:t>
      </w:r>
    </w:p>
    <w:p w14:paraId="4817707E" w14:textId="77777777" w:rsidR="0064522A" w:rsidRDefault="00EF4805" w:rsidP="006358AC">
      <w:pPr>
        <w:jc w:val="both"/>
      </w:pPr>
      <w:r>
        <w:t>The new conditional capacity type shall be applicable for entry transmission service at domestic points for injection</w:t>
      </w:r>
      <w:r w:rsidR="0064522A">
        <w:t xml:space="preserve">. </w:t>
      </w:r>
    </w:p>
    <w:p w14:paraId="654C79A7" w14:textId="2DE7301A" w:rsidR="00BF69F0" w:rsidRDefault="0064522A" w:rsidP="006358AC">
      <w:pPr>
        <w:jc w:val="both"/>
      </w:pPr>
      <w:r>
        <w:t xml:space="preserve">The conditional entry </w:t>
      </w:r>
      <w:r w:rsidR="0072402F">
        <w:t xml:space="preserve">transmission service shall be available as long as </w:t>
      </w:r>
      <w:r w:rsidR="00F20AB0" w:rsidRPr="00F41C80">
        <w:t xml:space="preserve">the </w:t>
      </w:r>
      <w:r w:rsidR="00F20AB0">
        <w:t>i</w:t>
      </w:r>
      <w:r w:rsidR="00F20AB0" w:rsidRPr="00F41C80">
        <w:t xml:space="preserve">njection of </w:t>
      </w:r>
      <w:r w:rsidR="00F20AB0">
        <w:t>gas by a local producer</w:t>
      </w:r>
      <w:r w:rsidR="00F20AB0" w:rsidRPr="00F20AB0">
        <w:t xml:space="preserve"> </w:t>
      </w:r>
      <w:r w:rsidR="00B03E54">
        <w:t>is not resulting</w:t>
      </w:r>
    </w:p>
    <w:p w14:paraId="1CC47277" w14:textId="76BC3917" w:rsidR="00BF69F0" w:rsidRDefault="00B03E54" w:rsidP="00BF69F0">
      <w:pPr>
        <w:pStyle w:val="ListParagraph"/>
        <w:numPr>
          <w:ilvl w:val="0"/>
          <w:numId w:val="17"/>
        </w:numPr>
        <w:jc w:val="both"/>
      </w:pPr>
      <w:r>
        <w:lastRenderedPageBreak/>
        <w:t>in</w:t>
      </w:r>
      <w:r w:rsidR="007B3B63">
        <w:t xml:space="preserve"> </w:t>
      </w:r>
      <w:r w:rsidR="000E5E86">
        <w:t>an excess of gas</w:t>
      </w:r>
      <w:r w:rsidR="00B63BF9">
        <w:t xml:space="preserve"> </w:t>
      </w:r>
      <w:r w:rsidR="0072402F" w:rsidRPr="00F41C80">
        <w:t xml:space="preserve">in </w:t>
      </w:r>
      <w:r w:rsidR="00B63BF9">
        <w:t>that portion of the</w:t>
      </w:r>
      <w:r w:rsidR="0072402F" w:rsidRPr="00F41C80">
        <w:t xml:space="preserve"> </w:t>
      </w:r>
      <w:r w:rsidR="00BF69F0">
        <w:t xml:space="preserve">transmission grid, </w:t>
      </w:r>
      <w:r w:rsidR="0072402F" w:rsidRPr="00F41C80">
        <w:t xml:space="preserve"> </w:t>
      </w:r>
      <w:r w:rsidR="009A1693">
        <w:t>or</w:t>
      </w:r>
      <w:r w:rsidR="0072402F" w:rsidRPr="00F41C80">
        <w:t xml:space="preserve"> </w:t>
      </w:r>
    </w:p>
    <w:p w14:paraId="63ED4BFF" w14:textId="53EA00A3" w:rsidR="002F2A5C" w:rsidRDefault="0072402F" w:rsidP="006A16E1">
      <w:pPr>
        <w:pStyle w:val="ListParagraph"/>
        <w:numPr>
          <w:ilvl w:val="0"/>
          <w:numId w:val="17"/>
        </w:numPr>
        <w:jc w:val="both"/>
      </w:pPr>
      <w:r w:rsidRPr="00F41C80">
        <w:t xml:space="preserve">in the violation of any of the </w:t>
      </w:r>
      <w:r w:rsidR="001111F4">
        <w:t>quality specifications applicable</w:t>
      </w:r>
      <w:r w:rsidRPr="00F41C80">
        <w:t xml:space="preserve"> </w:t>
      </w:r>
      <w:r w:rsidR="004419C1">
        <w:t>at interconnection points and installation points</w:t>
      </w:r>
    </w:p>
    <w:p w14:paraId="5C48A858" w14:textId="77777777" w:rsidR="00F1711E" w:rsidRDefault="00F1711E" w:rsidP="00F1711E">
      <w:pPr>
        <w:pStyle w:val="ListParagraph"/>
        <w:ind w:left="720"/>
        <w:jc w:val="both"/>
      </w:pPr>
    </w:p>
    <w:p w14:paraId="710C6263" w14:textId="30A5F426" w:rsidR="005A64E7" w:rsidRDefault="00F57548" w:rsidP="00F1711E">
      <w:pPr>
        <w:pStyle w:val="ListParagraph"/>
        <w:numPr>
          <w:ilvl w:val="0"/>
          <w:numId w:val="8"/>
        </w:numPr>
        <w:spacing w:before="360"/>
        <w:ind w:left="714" w:hanging="357"/>
        <w:jc w:val="both"/>
        <w:rPr>
          <w:rStyle w:val="Strong"/>
          <w:color w:val="15234A" w:themeColor="text2"/>
          <w:sz w:val="24"/>
          <w:szCs w:val="28"/>
        </w:rPr>
      </w:pPr>
      <w:r>
        <w:rPr>
          <w:rStyle w:val="Strong"/>
          <w:color w:val="15234A" w:themeColor="text2"/>
          <w:sz w:val="24"/>
          <w:szCs w:val="28"/>
        </w:rPr>
        <w:t>Quality Conversion to H Service</w:t>
      </w:r>
    </w:p>
    <w:p w14:paraId="4EA46257" w14:textId="6DF1AC60" w:rsidR="00E012C0" w:rsidRDefault="00785673" w:rsidP="00F1711E">
      <w:pPr>
        <w:jc w:val="both"/>
      </w:pPr>
      <w:r w:rsidRPr="00785673">
        <w:t>The quality conversion to H service enable the injection of non-compatible gases in the H-gas already flowing into the transmission system where it can be blended with H-gas so that the mix is a compatible gas</w:t>
      </w:r>
      <w:r>
        <w:t xml:space="preserve">. </w:t>
      </w:r>
      <w:r w:rsidR="008D0755">
        <w:t>The</w:t>
      </w:r>
      <w:r w:rsidR="00FF724F">
        <w:t xml:space="preserve"> quality conversion to H service is amended </w:t>
      </w:r>
      <w:r w:rsidR="00E012C0">
        <w:t>in such a way that it can be offered at:</w:t>
      </w:r>
    </w:p>
    <w:p w14:paraId="2D3B5B95" w14:textId="77777777" w:rsidR="00385281" w:rsidRDefault="00E012C0" w:rsidP="00BA296E">
      <w:pPr>
        <w:pStyle w:val="ListParagraph"/>
        <w:numPr>
          <w:ilvl w:val="0"/>
          <w:numId w:val="17"/>
        </w:numPr>
        <w:jc w:val="both"/>
      </w:pPr>
      <w:r>
        <w:t xml:space="preserve">EXISTING : </w:t>
      </w:r>
      <w:r w:rsidR="00385281">
        <w:t>Installation point Quality Conversion “QC” for the injection of L-gas into H-gas</w:t>
      </w:r>
    </w:p>
    <w:p w14:paraId="13B882BF" w14:textId="2F6A6100" w:rsidR="00F1711E" w:rsidRDefault="00385281" w:rsidP="00BA296E">
      <w:pPr>
        <w:pStyle w:val="ListParagraph"/>
        <w:numPr>
          <w:ilvl w:val="0"/>
          <w:numId w:val="17"/>
        </w:numPr>
        <w:jc w:val="both"/>
      </w:pPr>
      <w:r>
        <w:t xml:space="preserve">NEW : </w:t>
      </w:r>
      <w:r w:rsidR="00FC4858">
        <w:t>D</w:t>
      </w:r>
      <w:r w:rsidR="009B1E10">
        <w:t xml:space="preserve">omestic points for injection </w:t>
      </w:r>
      <w:r w:rsidR="00830652">
        <w:t>(</w:t>
      </w:r>
      <w:r w:rsidR="00BA296E">
        <w:t>where blending is possible</w:t>
      </w:r>
      <w:r w:rsidR="00830652">
        <w:t>) for the injection of biomethane locally not compatible or blends of H</w:t>
      </w:r>
      <w:r w:rsidR="00830652" w:rsidRPr="00830652">
        <w:rPr>
          <w:vertAlign w:val="subscript"/>
        </w:rPr>
        <w:t>2</w:t>
      </w:r>
      <w:r w:rsidR="00830652">
        <w:t xml:space="preserve"> with natural gas.</w:t>
      </w:r>
      <w:r w:rsidR="009B1E10">
        <w:t xml:space="preserve"> </w:t>
      </w:r>
      <w:r>
        <w:t xml:space="preserve"> </w:t>
      </w:r>
      <w:r w:rsidR="008D0755">
        <w:t xml:space="preserve"> </w:t>
      </w:r>
    </w:p>
    <w:p w14:paraId="1E352E94" w14:textId="5AB11734" w:rsidR="00F10DAB" w:rsidRPr="00F1711E" w:rsidRDefault="00F10DAB" w:rsidP="00F1711E">
      <w:pPr>
        <w:jc w:val="both"/>
      </w:pPr>
      <w:r>
        <w:t>This changes also result in the removal of the H</w:t>
      </w:r>
      <w:r w:rsidRPr="00174332">
        <w:rPr>
          <w:vertAlign w:val="subscript"/>
        </w:rPr>
        <w:t>2</w:t>
      </w:r>
      <w:r w:rsidR="008D0755">
        <w:t>-</w:t>
      </w:r>
      <w:r>
        <w:t xml:space="preserve">IN </w:t>
      </w:r>
      <w:r w:rsidR="005E066F">
        <w:t>i</w:t>
      </w:r>
      <w:r>
        <w:t xml:space="preserve">nstallation </w:t>
      </w:r>
      <w:r w:rsidR="005E066F">
        <w:t>p</w:t>
      </w:r>
      <w:r>
        <w:t xml:space="preserve">oint as it is not used anymore for injection of </w:t>
      </w:r>
      <w:r w:rsidR="008D0755">
        <w:t xml:space="preserve">blends of </w:t>
      </w:r>
      <w:r w:rsidR="003E36F1">
        <w:t>H</w:t>
      </w:r>
      <w:r w:rsidR="003E36F1" w:rsidRPr="003E36F1">
        <w:rPr>
          <w:vertAlign w:val="subscript"/>
        </w:rPr>
        <w:t>2</w:t>
      </w:r>
      <w:r w:rsidR="003E36F1">
        <w:rPr>
          <w:vertAlign w:val="subscript"/>
        </w:rPr>
        <w:t xml:space="preserve"> </w:t>
      </w:r>
      <w:r w:rsidR="003E36F1">
        <w:t xml:space="preserve">with </w:t>
      </w:r>
      <w:r w:rsidR="008D0755">
        <w:t>natural gas.</w:t>
      </w:r>
    </w:p>
    <w:p w14:paraId="26DC3DB2" w14:textId="39E319BF" w:rsidR="0045747B" w:rsidRDefault="0045747B" w:rsidP="00F1711E">
      <w:pPr>
        <w:pStyle w:val="ListParagraph"/>
        <w:numPr>
          <w:ilvl w:val="0"/>
          <w:numId w:val="8"/>
        </w:numPr>
        <w:jc w:val="both"/>
        <w:rPr>
          <w:rStyle w:val="Strong"/>
          <w:color w:val="15234A" w:themeColor="text2"/>
          <w:sz w:val="24"/>
          <w:szCs w:val="28"/>
        </w:rPr>
      </w:pPr>
      <w:r>
        <w:rPr>
          <w:rStyle w:val="Strong"/>
          <w:color w:val="15234A" w:themeColor="text2"/>
          <w:sz w:val="24"/>
          <w:szCs w:val="28"/>
        </w:rPr>
        <w:t>New quality specifications at domestic points for injection</w:t>
      </w:r>
    </w:p>
    <w:p w14:paraId="6711D429" w14:textId="16A4850C" w:rsidR="00174332" w:rsidRDefault="0046643F" w:rsidP="00174332">
      <w:pPr>
        <w:jc w:val="both"/>
      </w:pPr>
      <w:r>
        <w:t xml:space="preserve">In order to </w:t>
      </w:r>
      <w:r w:rsidR="00A66BC4">
        <w:t>support injection of renewable and decarbonized gases</w:t>
      </w:r>
      <w:r w:rsidR="00120E0E">
        <w:t xml:space="preserve"> </w:t>
      </w:r>
      <w:r w:rsidR="00EE38F9">
        <w:t>and to align with the quality specification developed in Synergrid, t</w:t>
      </w:r>
      <w:r w:rsidR="00174332">
        <w:t xml:space="preserve">wo </w:t>
      </w:r>
      <w:r w:rsidR="00E176D2">
        <w:t>quality specifications are proposed for the domestic points for injection</w:t>
      </w:r>
      <w:r w:rsidR="005E09A9">
        <w:t>, depending on their location</w:t>
      </w:r>
      <w:r w:rsidR="004170F8">
        <w:t xml:space="preserve"> in the transmission network</w:t>
      </w:r>
      <w:r w:rsidR="00E176D2">
        <w:t>:</w:t>
      </w:r>
    </w:p>
    <w:p w14:paraId="23367ED6" w14:textId="529C3AAA" w:rsidR="00E176D2" w:rsidRDefault="00E176D2" w:rsidP="005E09A9">
      <w:pPr>
        <w:pStyle w:val="ListParagraph"/>
        <w:numPr>
          <w:ilvl w:val="0"/>
          <w:numId w:val="17"/>
        </w:numPr>
        <w:jc w:val="both"/>
      </w:pPr>
      <w:r>
        <w:t xml:space="preserve">A global quality specification applicable </w:t>
      </w:r>
      <w:r w:rsidR="00C93BA5">
        <w:t>when the gas can reach an interconnection point or the installation point Loenhout</w:t>
      </w:r>
    </w:p>
    <w:p w14:paraId="2076206C" w14:textId="4C16AC62" w:rsidR="00C93BA5" w:rsidRDefault="00C93BA5" w:rsidP="005E09A9">
      <w:pPr>
        <w:pStyle w:val="ListParagraph"/>
        <w:numPr>
          <w:ilvl w:val="0"/>
          <w:numId w:val="17"/>
        </w:numPr>
        <w:jc w:val="both"/>
      </w:pPr>
      <w:r>
        <w:t xml:space="preserve">A local </w:t>
      </w:r>
      <w:r w:rsidR="005B3790">
        <w:t xml:space="preserve">quality </w:t>
      </w:r>
      <w:r>
        <w:t xml:space="preserve">specification </w:t>
      </w:r>
      <w:r w:rsidR="005B3790">
        <w:t>applicable when the gas cannot reach an interconnection point or the installation point Loenhout</w:t>
      </w:r>
      <w:r w:rsidR="00A66BC4">
        <w:t xml:space="preserve">. This quality specification </w:t>
      </w:r>
      <w:r w:rsidR="00147D7C">
        <w:t>give</w:t>
      </w:r>
      <w:r w:rsidR="004170F8">
        <w:t>s</w:t>
      </w:r>
      <w:r w:rsidR="00147D7C">
        <w:t xml:space="preserve"> some more rooms for the local producers </w:t>
      </w:r>
      <w:r w:rsidR="002030D1">
        <w:t>with regards to</w:t>
      </w:r>
      <w:r w:rsidR="00147D7C">
        <w:t xml:space="preserve"> the GCV, the </w:t>
      </w:r>
      <w:r w:rsidR="00F737BA">
        <w:t>H</w:t>
      </w:r>
      <w:r w:rsidR="00F737BA" w:rsidRPr="002030D1">
        <w:rPr>
          <w:vertAlign w:val="subscript"/>
        </w:rPr>
        <w:t>2</w:t>
      </w:r>
      <w:r w:rsidR="00F737BA">
        <w:t xml:space="preserve"> content, the O</w:t>
      </w:r>
      <w:r w:rsidR="00F737BA" w:rsidRPr="002030D1">
        <w:rPr>
          <w:vertAlign w:val="subscript"/>
        </w:rPr>
        <w:t>2</w:t>
      </w:r>
      <w:r w:rsidR="00F737BA">
        <w:t xml:space="preserve"> content and the C</w:t>
      </w:r>
      <w:r w:rsidR="00F737BA" w:rsidRPr="002030D1">
        <w:rPr>
          <w:vertAlign w:val="subscript"/>
        </w:rPr>
        <w:t>2</w:t>
      </w:r>
      <w:r w:rsidR="00F737BA">
        <w:t>H</w:t>
      </w:r>
      <w:r w:rsidR="00F737BA" w:rsidRPr="002030D1">
        <w:rPr>
          <w:vertAlign w:val="subscript"/>
        </w:rPr>
        <w:t>4</w:t>
      </w:r>
      <w:r w:rsidR="00F737BA" w:rsidRPr="005E09A9">
        <w:t xml:space="preserve"> </w:t>
      </w:r>
      <w:r w:rsidR="00F737BA">
        <w:t>content.</w:t>
      </w:r>
    </w:p>
    <w:p w14:paraId="40B4FE23" w14:textId="3CE8EDD2" w:rsidR="005B0A30" w:rsidRPr="00174332" w:rsidRDefault="00457F83" w:rsidP="00174332">
      <w:pPr>
        <w:jc w:val="both"/>
      </w:pPr>
      <w:r>
        <w:t>Fluxys Belgium</w:t>
      </w:r>
      <w:r w:rsidR="004846AE">
        <w:t xml:space="preserve"> also propose</w:t>
      </w:r>
      <w:r>
        <w:t>s</w:t>
      </w:r>
      <w:r w:rsidR="004846AE">
        <w:t xml:space="preserve"> to amend the</w:t>
      </w:r>
      <w:r w:rsidR="000357F7">
        <w:t xml:space="preserve"> Wobbe Index </w:t>
      </w:r>
      <w:r w:rsidR="004846AE">
        <w:t xml:space="preserve">range </w:t>
      </w:r>
      <w:r w:rsidR="00836EAA">
        <w:t xml:space="preserve">in </w:t>
      </w:r>
      <w:r w:rsidR="004846AE">
        <w:t xml:space="preserve">both the global and the local quality specification at domestic points for </w:t>
      </w:r>
      <w:r w:rsidR="00DD1ECB">
        <w:t xml:space="preserve">injection in order to </w:t>
      </w:r>
      <w:r w:rsidR="00C74409">
        <w:t>keep control on</w:t>
      </w:r>
      <w:r w:rsidR="00DD1ECB">
        <w:t xml:space="preserve"> Wobbe Index variations </w:t>
      </w:r>
      <w:r w:rsidR="00154963">
        <w:t xml:space="preserve">in </w:t>
      </w:r>
      <w:r w:rsidR="00DE54E4">
        <w:t>its</w:t>
      </w:r>
      <w:r w:rsidR="00154963">
        <w:t xml:space="preserve"> transmission network.</w:t>
      </w:r>
      <w:r w:rsidR="00836EAA">
        <w:t xml:space="preserve"> </w:t>
      </w:r>
      <w:r w:rsidR="004846AE">
        <w:t xml:space="preserve"> </w:t>
      </w:r>
    </w:p>
    <w:p w14:paraId="64675E2C" w14:textId="3342228E" w:rsidR="0045747B" w:rsidRDefault="00473CB1" w:rsidP="00F1711E">
      <w:pPr>
        <w:pStyle w:val="ListParagraph"/>
        <w:numPr>
          <w:ilvl w:val="0"/>
          <w:numId w:val="8"/>
        </w:numPr>
        <w:jc w:val="both"/>
        <w:rPr>
          <w:rStyle w:val="Strong"/>
          <w:color w:val="15234A" w:themeColor="text2"/>
          <w:sz w:val="24"/>
          <w:szCs w:val="28"/>
        </w:rPr>
      </w:pPr>
      <w:r>
        <w:rPr>
          <w:rStyle w:val="Strong"/>
          <w:color w:val="15234A" w:themeColor="text2"/>
          <w:sz w:val="24"/>
          <w:szCs w:val="28"/>
        </w:rPr>
        <w:t xml:space="preserve">Simplification of </w:t>
      </w:r>
      <w:r w:rsidR="00B20DE3">
        <w:rPr>
          <w:rStyle w:val="Strong"/>
          <w:color w:val="15234A" w:themeColor="text2"/>
          <w:sz w:val="24"/>
          <w:szCs w:val="28"/>
        </w:rPr>
        <w:t xml:space="preserve">the </w:t>
      </w:r>
      <w:r>
        <w:rPr>
          <w:rStyle w:val="Strong"/>
          <w:color w:val="15234A" w:themeColor="text2"/>
          <w:sz w:val="24"/>
          <w:szCs w:val="28"/>
        </w:rPr>
        <w:t>capacity exceeding</w:t>
      </w:r>
      <w:r w:rsidR="00B20DE3">
        <w:rPr>
          <w:rStyle w:val="Strong"/>
          <w:color w:val="15234A" w:themeColor="text2"/>
          <w:sz w:val="24"/>
          <w:szCs w:val="28"/>
        </w:rPr>
        <w:t xml:space="preserve"> fee</w:t>
      </w:r>
      <w:r>
        <w:rPr>
          <w:rStyle w:val="Strong"/>
          <w:color w:val="15234A" w:themeColor="text2"/>
          <w:sz w:val="24"/>
          <w:szCs w:val="28"/>
        </w:rPr>
        <w:t xml:space="preserve"> calculation</w:t>
      </w:r>
    </w:p>
    <w:p w14:paraId="447DD3FA" w14:textId="27FC4994" w:rsidR="00C74409" w:rsidRDefault="003B711C" w:rsidP="00C74409">
      <w:pPr>
        <w:jc w:val="both"/>
      </w:pPr>
      <w:r w:rsidRPr="003B711C">
        <w:t>Capacity exceeding</w:t>
      </w:r>
      <w:r>
        <w:t>’</w:t>
      </w:r>
      <w:r w:rsidRPr="003B711C">
        <w:t>s</w:t>
      </w:r>
      <w:r>
        <w:t xml:space="preserve"> apply at end user domestic points </w:t>
      </w:r>
      <w:r w:rsidR="00264B8C">
        <w:t>and domestic points for injection when allocations are exceeding the capacity subscriptions.</w:t>
      </w:r>
    </w:p>
    <w:p w14:paraId="7AB09615" w14:textId="5EF77C91" w:rsidR="002C0D2F" w:rsidRDefault="00CF5755" w:rsidP="00C74409">
      <w:pPr>
        <w:jc w:val="both"/>
      </w:pPr>
      <w:r>
        <w:t xml:space="preserve">Fluxys Belgium proposes to simplify the existing formula for calculating the </w:t>
      </w:r>
      <w:r w:rsidR="00FA3A5F">
        <w:t xml:space="preserve">monthly </w:t>
      </w:r>
      <w:r>
        <w:t>capacity exceeding fee</w:t>
      </w:r>
      <w:r w:rsidR="007C0B4F">
        <w:t xml:space="preserve"> in line with </w:t>
      </w:r>
      <w:r w:rsidR="00791A90">
        <w:t>the tariff evolution of the last years</w:t>
      </w:r>
      <w:r w:rsidR="00AE5290">
        <w:t xml:space="preserve">, using the existing </w:t>
      </w:r>
      <w:r w:rsidR="007B7491">
        <w:t>seasonal coefficient, non-yearly multiplier and short term multiplier</w:t>
      </w:r>
      <w:r w:rsidR="00631196">
        <w:t xml:space="preserve">, and removing the </w:t>
      </w:r>
      <w:r w:rsidR="00FA3A5F">
        <w:t xml:space="preserve">use of </w:t>
      </w:r>
      <w:r w:rsidR="00A2218C">
        <w:t>an occurrence factor.</w:t>
      </w:r>
    </w:p>
    <w:p w14:paraId="1E07C3A5" w14:textId="189FCB1F" w:rsidR="00473CB1" w:rsidRDefault="0037283C" w:rsidP="00F1711E">
      <w:pPr>
        <w:pStyle w:val="ListParagraph"/>
        <w:numPr>
          <w:ilvl w:val="0"/>
          <w:numId w:val="8"/>
        </w:numPr>
        <w:jc w:val="both"/>
        <w:rPr>
          <w:rStyle w:val="Strong"/>
          <w:color w:val="15234A" w:themeColor="text2"/>
          <w:sz w:val="24"/>
          <w:szCs w:val="28"/>
        </w:rPr>
      </w:pPr>
      <w:r>
        <w:rPr>
          <w:rStyle w:val="Strong"/>
          <w:color w:val="15234A" w:themeColor="text2"/>
          <w:sz w:val="24"/>
          <w:szCs w:val="28"/>
        </w:rPr>
        <w:t>Remove references to OCUCs and wheelings</w:t>
      </w:r>
    </w:p>
    <w:p w14:paraId="6F14D78B" w14:textId="1CDAD4B1" w:rsidR="000D0FDC" w:rsidRDefault="000D0FDC" w:rsidP="000D0FDC">
      <w:pPr>
        <w:jc w:val="both"/>
      </w:pPr>
      <w:r>
        <w:lastRenderedPageBreak/>
        <w:t xml:space="preserve">Following CREG decision </w:t>
      </w:r>
      <w:r w:rsidR="00693EDB">
        <w:t>B2551</w:t>
      </w:r>
      <w:r>
        <w:t xml:space="preserve"> and the successful </w:t>
      </w:r>
      <w:r w:rsidR="00D12230">
        <w:t xml:space="preserve">use of the </w:t>
      </w:r>
      <w:r w:rsidR="00D35A07">
        <w:t>reallocation service</w:t>
      </w:r>
      <w:r w:rsidR="00D30170">
        <w:t xml:space="preserve"> by the network users, the last OCUC and wheeling</w:t>
      </w:r>
      <w:r w:rsidR="00390251">
        <w:t xml:space="preserve"> contracts</w:t>
      </w:r>
      <w:r w:rsidR="00D30170">
        <w:t xml:space="preserve"> will</w:t>
      </w:r>
      <w:r w:rsidR="00A17C23">
        <w:t xml:space="preserve"> end </w:t>
      </w:r>
      <w:r w:rsidR="00D30170">
        <w:t>on</w:t>
      </w:r>
      <w:r w:rsidR="00CC359E">
        <w:t xml:space="preserve"> the 31</w:t>
      </w:r>
      <w:r w:rsidR="00CC359E" w:rsidRPr="00CC359E">
        <w:rPr>
          <w:vertAlign w:val="superscript"/>
        </w:rPr>
        <w:t>st</w:t>
      </w:r>
      <w:r w:rsidR="00CC359E">
        <w:t xml:space="preserve"> of December 2023</w:t>
      </w:r>
      <w:r w:rsidR="00D30170">
        <w:t>.</w:t>
      </w:r>
    </w:p>
    <w:p w14:paraId="680B4669" w14:textId="783083D7" w:rsidR="00D30170" w:rsidRPr="000D0FDC" w:rsidRDefault="00390251" w:rsidP="000D0FDC">
      <w:pPr>
        <w:jc w:val="both"/>
      </w:pPr>
      <w:r>
        <w:t>Given the fact that the CREG decision for this market consultation is expected in 2024</w:t>
      </w:r>
      <w:r w:rsidR="00D30170">
        <w:t xml:space="preserve">, </w:t>
      </w:r>
      <w:r w:rsidR="007A526E">
        <w:t xml:space="preserve">Fluxys Belgium removes </w:t>
      </w:r>
      <w:r w:rsidR="00B27AD3">
        <w:t>all reference</w:t>
      </w:r>
      <w:r w:rsidR="007A526E">
        <w:t>s</w:t>
      </w:r>
      <w:r w:rsidR="00B27AD3">
        <w:t xml:space="preserve"> to OCUCs and wheelings </w:t>
      </w:r>
      <w:r w:rsidR="007A526E">
        <w:t xml:space="preserve">as well as </w:t>
      </w:r>
      <w:r w:rsidR="000D1F0A">
        <w:t xml:space="preserve">the </w:t>
      </w:r>
      <w:r w:rsidR="007A526E">
        <w:t>reallocation service from the regulated contracts.</w:t>
      </w:r>
    </w:p>
    <w:p w14:paraId="1D2A2E5E" w14:textId="71B95ACE" w:rsidR="006E55BA" w:rsidRDefault="006E55BA" w:rsidP="00F1711E">
      <w:pPr>
        <w:pStyle w:val="ListParagraph"/>
        <w:numPr>
          <w:ilvl w:val="0"/>
          <w:numId w:val="8"/>
        </w:numPr>
        <w:jc w:val="both"/>
        <w:rPr>
          <w:rStyle w:val="Strong"/>
          <w:color w:val="15234A" w:themeColor="text2"/>
          <w:sz w:val="24"/>
          <w:szCs w:val="28"/>
        </w:rPr>
      </w:pPr>
      <w:r>
        <w:rPr>
          <w:rStyle w:val="Strong"/>
          <w:color w:val="15234A" w:themeColor="text2"/>
          <w:sz w:val="24"/>
          <w:szCs w:val="28"/>
        </w:rPr>
        <w:t>Removing references to Electronic Booking System</w:t>
      </w:r>
    </w:p>
    <w:p w14:paraId="305750E0" w14:textId="5059C950" w:rsidR="002C6647" w:rsidRDefault="000F2BC7" w:rsidP="00390251">
      <w:pPr>
        <w:jc w:val="both"/>
      </w:pPr>
      <w:r>
        <w:t>The Electronic Booking System</w:t>
      </w:r>
      <w:r w:rsidR="00890EE7">
        <w:t xml:space="preserve"> (EBS)</w:t>
      </w:r>
      <w:r>
        <w:t xml:space="preserve"> </w:t>
      </w:r>
      <w:r w:rsidR="00890EE7">
        <w:t xml:space="preserve">was still used until recently for the sale of some transmission services that </w:t>
      </w:r>
      <w:r w:rsidR="00404FD0">
        <w:t xml:space="preserve">did not fall under the CAM network code </w:t>
      </w:r>
      <w:r w:rsidR="002C6647">
        <w:t>and that were sold under First Committed First Served basis</w:t>
      </w:r>
      <w:r w:rsidR="00382A21">
        <w:t>.</w:t>
      </w:r>
    </w:p>
    <w:p w14:paraId="1B73B070" w14:textId="77777777" w:rsidR="00D85000" w:rsidRDefault="002C6647" w:rsidP="00390251">
      <w:pPr>
        <w:jc w:val="both"/>
      </w:pPr>
      <w:r>
        <w:t xml:space="preserve">Since </w:t>
      </w:r>
      <w:r w:rsidR="0084653E">
        <w:t xml:space="preserve">all transmission service sales has been </w:t>
      </w:r>
      <w:r w:rsidR="00D41300">
        <w:t>moved</w:t>
      </w:r>
      <w:r w:rsidR="0084653E">
        <w:t xml:space="preserve"> to PRISMA </w:t>
      </w:r>
      <w:r w:rsidR="00D41300">
        <w:t>(except those being implicitly allocated)</w:t>
      </w:r>
      <w:r w:rsidR="00D85000">
        <w:t>, the EBS is not used anymore.</w:t>
      </w:r>
    </w:p>
    <w:p w14:paraId="3FE7C8F8" w14:textId="17CAA2FD" w:rsidR="002E525E" w:rsidRPr="00390251" w:rsidRDefault="00D85000" w:rsidP="00390251">
      <w:pPr>
        <w:jc w:val="both"/>
      </w:pPr>
      <w:r>
        <w:t xml:space="preserve">As a consequence, all references to EBS are removed from the </w:t>
      </w:r>
      <w:r w:rsidR="002F0D8C">
        <w:t>regulatory documents.</w:t>
      </w:r>
    </w:p>
    <w:p w14:paraId="5DC18477" w14:textId="46A4DA69" w:rsidR="0037283C" w:rsidRPr="002C1C6C" w:rsidRDefault="00971459" w:rsidP="00F1711E">
      <w:pPr>
        <w:pStyle w:val="ListParagraph"/>
        <w:numPr>
          <w:ilvl w:val="0"/>
          <w:numId w:val="8"/>
        </w:numPr>
        <w:jc w:val="both"/>
        <w:rPr>
          <w:rStyle w:val="Strong"/>
          <w:color w:val="15234A" w:themeColor="text2"/>
          <w:sz w:val="24"/>
          <w:szCs w:val="28"/>
        </w:rPr>
      </w:pPr>
      <w:r>
        <w:rPr>
          <w:rStyle w:val="Strong"/>
          <w:color w:val="15234A" w:themeColor="text2"/>
          <w:sz w:val="24"/>
          <w:szCs w:val="28"/>
        </w:rPr>
        <w:t>Minor changes</w:t>
      </w:r>
    </w:p>
    <w:p w14:paraId="41A72CCC" w14:textId="4819BB88" w:rsidR="0008758B" w:rsidRDefault="009D2EED" w:rsidP="00450DAC">
      <w:pPr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Fluxys Belgium has also integrated t</w:t>
      </w:r>
      <w:r w:rsidR="00920422">
        <w:rPr>
          <w:rStyle w:val="Strong"/>
          <w:b w:val="0"/>
          <w:bCs w:val="0"/>
        </w:rPr>
        <w:t xml:space="preserve">he following changes </w:t>
      </w:r>
      <w:r>
        <w:rPr>
          <w:rStyle w:val="Strong"/>
          <w:b w:val="0"/>
          <w:bCs w:val="0"/>
        </w:rPr>
        <w:t xml:space="preserve">to its </w:t>
      </w:r>
      <w:r w:rsidR="0008758B">
        <w:rPr>
          <w:rStyle w:val="Strong"/>
          <w:b w:val="0"/>
          <w:bCs w:val="0"/>
        </w:rPr>
        <w:t xml:space="preserve">regulatory documents: </w:t>
      </w:r>
    </w:p>
    <w:p w14:paraId="277F2EB2" w14:textId="7216B2E3" w:rsidR="002B2227" w:rsidRPr="00FF02F2" w:rsidRDefault="00E2627B" w:rsidP="00FF02F2">
      <w:pPr>
        <w:pStyle w:val="ListParagraph"/>
        <w:numPr>
          <w:ilvl w:val="0"/>
          <w:numId w:val="17"/>
        </w:numPr>
        <w:jc w:val="both"/>
      </w:pPr>
      <w:r w:rsidRPr="00FF02F2">
        <w:t xml:space="preserve">STA : </w:t>
      </w:r>
      <w:r w:rsidR="00612A0E" w:rsidRPr="00FF02F2">
        <w:t>Clarification of the p</w:t>
      </w:r>
      <w:r w:rsidR="00621D7B" w:rsidRPr="00FF02F2">
        <w:t>ayment</w:t>
      </w:r>
      <w:r w:rsidRPr="00FF02F2">
        <w:t xml:space="preserve"> rules </w:t>
      </w:r>
      <w:r w:rsidR="00621D7B" w:rsidRPr="00FF02F2">
        <w:t xml:space="preserve">for </w:t>
      </w:r>
      <w:r w:rsidR="000B1E9E" w:rsidRPr="00FF02F2">
        <w:t xml:space="preserve">the fee resulting from the </w:t>
      </w:r>
      <w:r w:rsidR="00621D7B" w:rsidRPr="00FF02F2">
        <w:t xml:space="preserve">cancellation </w:t>
      </w:r>
      <w:r w:rsidR="000B1E9E" w:rsidRPr="00FF02F2">
        <w:t xml:space="preserve">of transmission </w:t>
      </w:r>
      <w:r w:rsidR="00621D7B" w:rsidRPr="00FF02F2">
        <w:t>service</w:t>
      </w:r>
    </w:p>
    <w:p w14:paraId="17795A2E" w14:textId="5EBA8D01" w:rsidR="00612A0E" w:rsidRPr="00FF02F2" w:rsidRDefault="004957B0" w:rsidP="00FF02F2">
      <w:pPr>
        <w:pStyle w:val="ListParagraph"/>
        <w:numPr>
          <w:ilvl w:val="0"/>
          <w:numId w:val="17"/>
        </w:numPr>
        <w:jc w:val="both"/>
      </w:pPr>
      <w:r w:rsidRPr="00FF02F2">
        <w:t>STA</w:t>
      </w:r>
      <w:r w:rsidR="00982891" w:rsidRPr="00FF02F2">
        <w:t xml:space="preserve"> : </w:t>
      </w:r>
      <w:r w:rsidR="00DA7799" w:rsidRPr="00FF02F2">
        <w:t>Alignment</w:t>
      </w:r>
      <w:r w:rsidRPr="00FF02F2">
        <w:t xml:space="preserve"> of the interest rate for cash deposit </w:t>
      </w:r>
      <w:r w:rsidR="00DA7799" w:rsidRPr="00FF02F2">
        <w:t>(credit worthiness) with other standard agreements</w:t>
      </w:r>
    </w:p>
    <w:p w14:paraId="6EA8F53D" w14:textId="63A698BA" w:rsidR="000B1E9E" w:rsidRPr="00FF02F2" w:rsidRDefault="00FF02F2" w:rsidP="00FF02F2">
      <w:pPr>
        <w:pStyle w:val="ListParagraph"/>
        <w:numPr>
          <w:ilvl w:val="0"/>
          <w:numId w:val="17"/>
        </w:numPr>
        <w:jc w:val="both"/>
      </w:pPr>
      <w:r w:rsidRPr="00FF02F2">
        <w:t xml:space="preserve">ACT Att.B : </w:t>
      </w:r>
      <w:r w:rsidR="00B12E0D">
        <w:t xml:space="preserve">Clarification </w:t>
      </w:r>
      <w:r w:rsidR="00913AB6">
        <w:t>to the allocation rule of FCFS transmission services offered on PRISMA</w:t>
      </w:r>
    </w:p>
    <w:sectPr w:rsidR="000B1E9E" w:rsidRPr="00FF02F2" w:rsidSect="007A3D12">
      <w:footerReference w:type="even" r:id="rId14"/>
      <w:footerReference w:type="default" r:id="rId15"/>
      <w:pgSz w:w="11906" w:h="16838" w:code="9"/>
      <w:pgMar w:top="1440" w:right="1440" w:bottom="1440" w:left="1701" w:header="709" w:footer="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0D48A" w14:textId="77777777" w:rsidR="00152476" w:rsidRDefault="00152476" w:rsidP="00594391">
      <w:pPr>
        <w:spacing w:before="0"/>
      </w:pPr>
      <w:r>
        <w:separator/>
      </w:r>
    </w:p>
  </w:endnote>
  <w:endnote w:type="continuationSeparator" w:id="0">
    <w:p w14:paraId="032B9A19" w14:textId="77777777" w:rsidR="00152476" w:rsidRDefault="00152476" w:rsidP="00594391">
      <w:pPr>
        <w:spacing w:before="0"/>
      </w:pPr>
      <w:r>
        <w:continuationSeparator/>
      </w:r>
    </w:p>
  </w:endnote>
  <w:endnote w:type="continuationNotice" w:id="1">
    <w:p w14:paraId="73D340AF" w14:textId="77777777" w:rsidR="00152476" w:rsidRDefault="00152476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Cambria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21"/>
      <w:gridCol w:w="2922"/>
      <w:gridCol w:w="2922"/>
    </w:tblGrid>
    <w:tr w:rsidR="00594391" w:rsidRPr="00394CF8" w14:paraId="3965D91B" w14:textId="77777777">
      <w:tc>
        <w:tcPr>
          <w:tcW w:w="2627" w:type="dxa"/>
          <w:tcMar>
            <w:left w:w="0" w:type="dxa"/>
          </w:tcMar>
        </w:tcPr>
        <w:p w14:paraId="610FFCCF" w14:textId="77777777" w:rsidR="00594391" w:rsidRPr="0010702D" w:rsidRDefault="00594391">
          <w:pPr>
            <w:pStyle w:val="Footer"/>
            <w:tabs>
              <w:tab w:val="clear" w:pos="4513"/>
              <w:tab w:val="clear" w:pos="9026"/>
            </w:tabs>
            <w:spacing w:before="240"/>
            <w:rPr>
              <w:lang w:val="nl-NL"/>
            </w:rPr>
          </w:pPr>
          <w:bookmarkStart w:id="0" w:name="_Hlk34819932"/>
          <w:r w:rsidRPr="0010702D">
            <w:rPr>
              <w:b/>
              <w:noProof/>
            </w:rPr>
            <w:drawing>
              <wp:anchor distT="0" distB="0" distL="114300" distR="114300" simplePos="0" relativeHeight="251660289" behindDoc="0" locked="0" layoutInCell="1" allowOverlap="1" wp14:anchorId="068AE9FD" wp14:editId="1A3F31D5">
                <wp:simplePos x="0" y="0"/>
                <wp:positionH relativeFrom="leftMargin">
                  <wp:posOffset>0</wp:posOffset>
                </wp:positionH>
                <wp:positionV relativeFrom="paragraph">
                  <wp:posOffset>45720</wp:posOffset>
                </wp:positionV>
                <wp:extent cx="208800" cy="252000"/>
                <wp:effectExtent l="0" t="0" r="1270" b="0"/>
                <wp:wrapSquare wrapText="bothSides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fbeelding 3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8800" cy="252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FF04CC">
            <w:rPr>
              <w:lang w:val="nl-NL"/>
            </w:rPr>
            <w:fldChar w:fldCharType="begin"/>
          </w:r>
          <w:r w:rsidRPr="00FF04CC">
            <w:rPr>
              <w:lang w:val="nl-NL"/>
            </w:rPr>
            <w:instrText xml:space="preserve"> PAGE   \* MERGEFORMAT </w:instrText>
          </w:r>
          <w:r w:rsidRPr="00FF04CC">
            <w:rPr>
              <w:lang w:val="nl-NL"/>
            </w:rPr>
            <w:fldChar w:fldCharType="separate"/>
          </w:r>
          <w:r>
            <w:rPr>
              <w:lang w:val="nl-NL"/>
            </w:rPr>
            <w:t>1</w:t>
          </w:r>
          <w:r w:rsidRPr="00FF04CC">
            <w:rPr>
              <w:noProof/>
              <w:lang w:val="nl-NL"/>
            </w:rPr>
            <w:fldChar w:fldCharType="end"/>
          </w:r>
        </w:p>
      </w:tc>
      <w:tc>
        <w:tcPr>
          <w:tcW w:w="2628" w:type="dxa"/>
        </w:tcPr>
        <w:p w14:paraId="3D62766E" w14:textId="77777777" w:rsidR="00594391" w:rsidRPr="0010702D" w:rsidRDefault="00594391">
          <w:pPr>
            <w:pStyle w:val="Footer"/>
            <w:tabs>
              <w:tab w:val="clear" w:pos="4513"/>
              <w:tab w:val="clear" w:pos="9026"/>
            </w:tabs>
            <w:jc w:val="center"/>
            <w:rPr>
              <w:lang w:val="nl-NL"/>
            </w:rPr>
          </w:pPr>
        </w:p>
      </w:tc>
      <w:tc>
        <w:tcPr>
          <w:tcW w:w="2628" w:type="dxa"/>
        </w:tcPr>
        <w:p w14:paraId="05661CA7" w14:textId="77777777" w:rsidR="00594391" w:rsidRPr="00394CF8" w:rsidRDefault="00594391">
          <w:pPr>
            <w:pStyle w:val="Footer"/>
            <w:tabs>
              <w:tab w:val="clear" w:pos="4513"/>
              <w:tab w:val="clear" w:pos="9026"/>
            </w:tabs>
            <w:spacing w:before="240"/>
            <w:jc w:val="right"/>
            <w:rPr>
              <w:lang w:val="nl-NL"/>
            </w:rPr>
          </w:pPr>
        </w:p>
      </w:tc>
    </w:tr>
    <w:bookmarkEnd w:id="0"/>
  </w:tbl>
  <w:p w14:paraId="1346C19E" w14:textId="77777777" w:rsidR="00594391" w:rsidRDefault="005943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21"/>
      <w:gridCol w:w="2922"/>
      <w:gridCol w:w="2922"/>
    </w:tblGrid>
    <w:tr w:rsidR="00594391" w:rsidRPr="00394CF8" w14:paraId="76E2F6FB" w14:textId="77777777">
      <w:tc>
        <w:tcPr>
          <w:tcW w:w="2627" w:type="dxa"/>
        </w:tcPr>
        <w:p w14:paraId="3F981F0B" w14:textId="77777777" w:rsidR="00594391" w:rsidRPr="0010702D" w:rsidRDefault="00594391">
          <w:pPr>
            <w:pStyle w:val="Footer"/>
            <w:tabs>
              <w:tab w:val="clear" w:pos="4513"/>
              <w:tab w:val="clear" w:pos="9026"/>
            </w:tabs>
            <w:rPr>
              <w:lang w:val="nl-NL"/>
            </w:rPr>
          </w:pPr>
        </w:p>
      </w:tc>
      <w:tc>
        <w:tcPr>
          <w:tcW w:w="2628" w:type="dxa"/>
        </w:tcPr>
        <w:p w14:paraId="49EBB3B3" w14:textId="77777777" w:rsidR="00594391" w:rsidRPr="0010702D" w:rsidRDefault="00594391">
          <w:pPr>
            <w:pStyle w:val="Footer"/>
            <w:tabs>
              <w:tab w:val="clear" w:pos="4513"/>
              <w:tab w:val="clear" w:pos="9026"/>
            </w:tabs>
            <w:jc w:val="center"/>
            <w:rPr>
              <w:lang w:val="nl-NL"/>
            </w:rPr>
          </w:pPr>
        </w:p>
      </w:tc>
      <w:tc>
        <w:tcPr>
          <w:tcW w:w="2628" w:type="dxa"/>
        </w:tcPr>
        <w:p w14:paraId="7259B789" w14:textId="77777777" w:rsidR="00594391" w:rsidRPr="00394CF8" w:rsidRDefault="00594391">
          <w:pPr>
            <w:pStyle w:val="Footer"/>
            <w:tabs>
              <w:tab w:val="clear" w:pos="4513"/>
              <w:tab w:val="clear" w:pos="9026"/>
            </w:tabs>
            <w:spacing w:before="240"/>
            <w:jc w:val="right"/>
            <w:rPr>
              <w:lang w:val="nl-NL"/>
            </w:rPr>
          </w:pPr>
          <w:r w:rsidRPr="0010702D">
            <w:rPr>
              <w:b/>
              <w:noProof/>
            </w:rPr>
            <w:drawing>
              <wp:anchor distT="0" distB="0" distL="114300" distR="114300" simplePos="0" relativeHeight="251662337" behindDoc="0" locked="0" layoutInCell="1" allowOverlap="1" wp14:anchorId="056769B8" wp14:editId="6B4F67ED">
                <wp:simplePos x="0" y="0"/>
                <wp:positionH relativeFrom="rightMargin">
                  <wp:posOffset>-146908</wp:posOffset>
                </wp:positionH>
                <wp:positionV relativeFrom="paragraph">
                  <wp:posOffset>46990</wp:posOffset>
                </wp:positionV>
                <wp:extent cx="208800" cy="252000"/>
                <wp:effectExtent l="0" t="0" r="1270" b="0"/>
                <wp:wrapSquare wrapText="bothSides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fbeelding 3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8800" cy="252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10702D">
            <w:rPr>
              <w:lang w:val="nl-NL"/>
            </w:rPr>
            <w:fldChar w:fldCharType="begin"/>
          </w:r>
          <w:r w:rsidRPr="0010702D">
            <w:rPr>
              <w:lang w:val="nl-NL"/>
            </w:rPr>
            <w:instrText xml:space="preserve"> PAGE   \* MERGEFORMAT </w:instrText>
          </w:r>
          <w:r w:rsidRPr="0010702D">
            <w:rPr>
              <w:lang w:val="nl-NL"/>
            </w:rPr>
            <w:fldChar w:fldCharType="separate"/>
          </w:r>
          <w:r>
            <w:t>2</w:t>
          </w:r>
          <w:r w:rsidRPr="0010702D">
            <w:rPr>
              <w:lang w:val="nl-NL"/>
            </w:rPr>
            <w:fldChar w:fldCharType="end"/>
          </w:r>
        </w:p>
      </w:tc>
    </w:tr>
  </w:tbl>
  <w:p w14:paraId="7C29F0E5" w14:textId="77777777" w:rsidR="00594391" w:rsidRDefault="005943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92E66" w14:textId="77777777" w:rsidR="00152476" w:rsidRDefault="00152476" w:rsidP="00594391">
      <w:pPr>
        <w:spacing w:before="0"/>
      </w:pPr>
      <w:r>
        <w:separator/>
      </w:r>
    </w:p>
  </w:footnote>
  <w:footnote w:type="continuationSeparator" w:id="0">
    <w:p w14:paraId="218ACE8A" w14:textId="77777777" w:rsidR="00152476" w:rsidRDefault="00152476" w:rsidP="00594391">
      <w:pPr>
        <w:spacing w:before="0"/>
      </w:pPr>
      <w:r>
        <w:continuationSeparator/>
      </w:r>
    </w:p>
  </w:footnote>
  <w:footnote w:type="continuationNotice" w:id="1">
    <w:p w14:paraId="6F8DACE1" w14:textId="77777777" w:rsidR="00152476" w:rsidRDefault="00152476">
      <w:pPr>
        <w:spacing w:before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7299E"/>
    <w:multiLevelType w:val="hybridMultilevel"/>
    <w:tmpl w:val="8D2417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86E1E"/>
    <w:multiLevelType w:val="hybridMultilevel"/>
    <w:tmpl w:val="E116AB98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A333A"/>
    <w:multiLevelType w:val="hybridMultilevel"/>
    <w:tmpl w:val="22AEB728"/>
    <w:lvl w:ilvl="0" w:tplc="A6EEAD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98185E"/>
    <w:multiLevelType w:val="hybridMultilevel"/>
    <w:tmpl w:val="E86E75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B129D4"/>
    <w:multiLevelType w:val="hybridMultilevel"/>
    <w:tmpl w:val="8E44678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B5D4624"/>
    <w:multiLevelType w:val="hybridMultilevel"/>
    <w:tmpl w:val="3B2A49C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532223"/>
    <w:multiLevelType w:val="hybridMultilevel"/>
    <w:tmpl w:val="8E44678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F3A5337"/>
    <w:multiLevelType w:val="hybridMultilevel"/>
    <w:tmpl w:val="7734614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5093933"/>
    <w:multiLevelType w:val="hybridMultilevel"/>
    <w:tmpl w:val="75B412CC"/>
    <w:lvl w:ilvl="0" w:tplc="D05A8A9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694266"/>
    <w:multiLevelType w:val="multilevel"/>
    <w:tmpl w:val="E05CE3B8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57" w:hanging="357"/>
      </w:pPr>
      <w:rPr>
        <w:rFonts w:hint="default"/>
      </w:rPr>
    </w:lvl>
    <w:lvl w:ilvl="2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3">
      <w:start w:val="1"/>
      <w:numFmt w:val="bullet"/>
      <w:lvlText w:val="-"/>
      <w:lvlJc w:val="left"/>
      <w:pPr>
        <w:ind w:left="357" w:hanging="357"/>
      </w:pPr>
      <w:rPr>
        <w:rFonts w:ascii="Century Gothic" w:hAnsi="Century Gothic" w:hint="default"/>
      </w:rPr>
    </w:lvl>
    <w:lvl w:ilvl="4">
      <w:start w:val="1"/>
      <w:numFmt w:val="none"/>
      <w:lvlText w:val="%5"/>
      <w:lvlJc w:val="left"/>
      <w:pPr>
        <w:ind w:left="357" w:hanging="357"/>
      </w:pPr>
      <w:rPr>
        <w:rFonts w:hint="default"/>
      </w:rPr>
    </w:lvl>
    <w:lvl w:ilvl="5">
      <w:start w:val="1"/>
      <w:numFmt w:val="none"/>
      <w:lvlText w:val="%6"/>
      <w:lvlJc w:val="left"/>
      <w:pPr>
        <w:ind w:left="357" w:hanging="357"/>
      </w:pPr>
      <w:rPr>
        <w:rFonts w:hint="default"/>
      </w:rPr>
    </w:lvl>
    <w:lvl w:ilvl="6">
      <w:start w:val="1"/>
      <w:numFmt w:val="none"/>
      <w:lvlText w:val="%7"/>
      <w:lvlJc w:val="left"/>
      <w:pPr>
        <w:ind w:left="357" w:hanging="357"/>
      </w:pPr>
      <w:rPr>
        <w:rFonts w:hint="default"/>
      </w:rPr>
    </w:lvl>
    <w:lvl w:ilvl="7">
      <w:start w:val="1"/>
      <w:numFmt w:val="none"/>
      <w:lvlText w:val=""/>
      <w:lvlJc w:val="left"/>
      <w:pPr>
        <w:ind w:left="357" w:hanging="357"/>
      </w:pPr>
      <w:rPr>
        <w:rFonts w:hint="default"/>
      </w:rPr>
    </w:lvl>
    <w:lvl w:ilvl="8">
      <w:start w:val="1"/>
      <w:numFmt w:val="none"/>
      <w:lvlText w:val="%9"/>
      <w:lvlJc w:val="right"/>
      <w:pPr>
        <w:ind w:left="357" w:hanging="357"/>
      </w:pPr>
      <w:rPr>
        <w:rFonts w:hint="default"/>
      </w:rPr>
    </w:lvl>
  </w:abstractNum>
  <w:abstractNum w:abstractNumId="10" w15:restartNumberingAfterBreak="0">
    <w:nsid w:val="50242A6E"/>
    <w:multiLevelType w:val="hybridMultilevel"/>
    <w:tmpl w:val="F4561FF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410857"/>
    <w:multiLevelType w:val="hybridMultilevel"/>
    <w:tmpl w:val="2BB63F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1E39B1"/>
    <w:multiLevelType w:val="hybridMultilevel"/>
    <w:tmpl w:val="EDDEF1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1D76B1C"/>
    <w:multiLevelType w:val="hybridMultilevel"/>
    <w:tmpl w:val="BFD6ED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161B98"/>
    <w:multiLevelType w:val="hybridMultilevel"/>
    <w:tmpl w:val="7372710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5CC139F"/>
    <w:multiLevelType w:val="hybridMultilevel"/>
    <w:tmpl w:val="62ACD85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A17FFE"/>
    <w:multiLevelType w:val="hybridMultilevel"/>
    <w:tmpl w:val="0CE2A3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6F2C1C"/>
    <w:multiLevelType w:val="hybridMultilevel"/>
    <w:tmpl w:val="B34AC2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8654886">
    <w:abstractNumId w:val="2"/>
  </w:num>
  <w:num w:numId="2" w16cid:durableId="1763447565">
    <w:abstractNumId w:val="9"/>
  </w:num>
  <w:num w:numId="3" w16cid:durableId="1794596176">
    <w:abstractNumId w:val="7"/>
  </w:num>
  <w:num w:numId="4" w16cid:durableId="614799722">
    <w:abstractNumId w:val="14"/>
  </w:num>
  <w:num w:numId="5" w16cid:durableId="2102678555">
    <w:abstractNumId w:val="12"/>
  </w:num>
  <w:num w:numId="6" w16cid:durableId="1446384824">
    <w:abstractNumId w:val="6"/>
  </w:num>
  <w:num w:numId="7" w16cid:durableId="79328044">
    <w:abstractNumId w:val="4"/>
  </w:num>
  <w:num w:numId="8" w16cid:durableId="2108303201">
    <w:abstractNumId w:val="16"/>
  </w:num>
  <w:num w:numId="9" w16cid:durableId="73864749">
    <w:abstractNumId w:val="17"/>
  </w:num>
  <w:num w:numId="10" w16cid:durableId="1069571525">
    <w:abstractNumId w:val="5"/>
  </w:num>
  <w:num w:numId="11" w16cid:durableId="675425739">
    <w:abstractNumId w:val="0"/>
  </w:num>
  <w:num w:numId="12" w16cid:durableId="126051621">
    <w:abstractNumId w:val="10"/>
  </w:num>
  <w:num w:numId="13" w16cid:durableId="1808816102">
    <w:abstractNumId w:val="13"/>
  </w:num>
  <w:num w:numId="14" w16cid:durableId="291981181">
    <w:abstractNumId w:val="11"/>
  </w:num>
  <w:num w:numId="15" w16cid:durableId="1379931666">
    <w:abstractNumId w:val="8"/>
  </w:num>
  <w:num w:numId="16" w16cid:durableId="1543864291">
    <w:abstractNumId w:val="15"/>
  </w:num>
  <w:num w:numId="17" w16cid:durableId="398290444">
    <w:abstractNumId w:val="3"/>
  </w:num>
  <w:num w:numId="18" w16cid:durableId="14631107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3"/>
  <w:attachedTemplate r:id="rId1"/>
  <w:defaultTabStop w:val="720"/>
  <w:hyphenationZone w:val="425"/>
  <w:evenAndOddHeaders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D12"/>
    <w:rsid w:val="00005478"/>
    <w:rsid w:val="00010E07"/>
    <w:rsid w:val="000172B8"/>
    <w:rsid w:val="00020485"/>
    <w:rsid w:val="00031892"/>
    <w:rsid w:val="000357F7"/>
    <w:rsid w:val="00036760"/>
    <w:rsid w:val="0005670A"/>
    <w:rsid w:val="00067FAB"/>
    <w:rsid w:val="00074481"/>
    <w:rsid w:val="00080A78"/>
    <w:rsid w:val="0008758B"/>
    <w:rsid w:val="000900D6"/>
    <w:rsid w:val="000905AE"/>
    <w:rsid w:val="000973CC"/>
    <w:rsid w:val="000A5EB5"/>
    <w:rsid w:val="000B1E9E"/>
    <w:rsid w:val="000C3DB0"/>
    <w:rsid w:val="000D0FDC"/>
    <w:rsid w:val="000D1F0A"/>
    <w:rsid w:val="000D52DF"/>
    <w:rsid w:val="000E14E7"/>
    <w:rsid w:val="000E419D"/>
    <w:rsid w:val="000E4863"/>
    <w:rsid w:val="000E5E86"/>
    <w:rsid w:val="000E7193"/>
    <w:rsid w:val="000F2BC7"/>
    <w:rsid w:val="0010361E"/>
    <w:rsid w:val="001049C9"/>
    <w:rsid w:val="001111F4"/>
    <w:rsid w:val="0011151C"/>
    <w:rsid w:val="0011181C"/>
    <w:rsid w:val="0011468A"/>
    <w:rsid w:val="00114C63"/>
    <w:rsid w:val="00115D85"/>
    <w:rsid w:val="001177F3"/>
    <w:rsid w:val="00120E0E"/>
    <w:rsid w:val="00122995"/>
    <w:rsid w:val="001244CA"/>
    <w:rsid w:val="00124FA0"/>
    <w:rsid w:val="001254A4"/>
    <w:rsid w:val="001333B3"/>
    <w:rsid w:val="00134999"/>
    <w:rsid w:val="00147D7C"/>
    <w:rsid w:val="00152476"/>
    <w:rsid w:val="001535FF"/>
    <w:rsid w:val="00154963"/>
    <w:rsid w:val="00154C2A"/>
    <w:rsid w:val="00156A1F"/>
    <w:rsid w:val="00156BC0"/>
    <w:rsid w:val="00165AB7"/>
    <w:rsid w:val="00173332"/>
    <w:rsid w:val="00174332"/>
    <w:rsid w:val="00176DD4"/>
    <w:rsid w:val="001779F6"/>
    <w:rsid w:val="001835B2"/>
    <w:rsid w:val="00186C03"/>
    <w:rsid w:val="00191341"/>
    <w:rsid w:val="0019533E"/>
    <w:rsid w:val="001A0833"/>
    <w:rsid w:val="001A3293"/>
    <w:rsid w:val="001A57A7"/>
    <w:rsid w:val="001A58A6"/>
    <w:rsid w:val="001A5955"/>
    <w:rsid w:val="001B62FB"/>
    <w:rsid w:val="001E114B"/>
    <w:rsid w:val="001E6441"/>
    <w:rsid w:val="001E69F4"/>
    <w:rsid w:val="00200812"/>
    <w:rsid w:val="002030D1"/>
    <w:rsid w:val="0020443D"/>
    <w:rsid w:val="0020633E"/>
    <w:rsid w:val="00230677"/>
    <w:rsid w:val="00232D8B"/>
    <w:rsid w:val="00245448"/>
    <w:rsid w:val="002559FC"/>
    <w:rsid w:val="00261F60"/>
    <w:rsid w:val="00264B8C"/>
    <w:rsid w:val="002746EE"/>
    <w:rsid w:val="00281A22"/>
    <w:rsid w:val="00281DA3"/>
    <w:rsid w:val="00287A3E"/>
    <w:rsid w:val="00287ACE"/>
    <w:rsid w:val="002900F6"/>
    <w:rsid w:val="00293593"/>
    <w:rsid w:val="002A1BBB"/>
    <w:rsid w:val="002A64C2"/>
    <w:rsid w:val="002B2227"/>
    <w:rsid w:val="002B4844"/>
    <w:rsid w:val="002C0D2F"/>
    <w:rsid w:val="002C1C6C"/>
    <w:rsid w:val="002C3961"/>
    <w:rsid w:val="002C4211"/>
    <w:rsid w:val="002C6647"/>
    <w:rsid w:val="002D7538"/>
    <w:rsid w:val="002D7F21"/>
    <w:rsid w:val="002E525E"/>
    <w:rsid w:val="002E6910"/>
    <w:rsid w:val="002F0D8C"/>
    <w:rsid w:val="002F2A5C"/>
    <w:rsid w:val="002F33F2"/>
    <w:rsid w:val="002F5389"/>
    <w:rsid w:val="00305543"/>
    <w:rsid w:val="003107B3"/>
    <w:rsid w:val="003125EA"/>
    <w:rsid w:val="0031320D"/>
    <w:rsid w:val="00320FF2"/>
    <w:rsid w:val="003259A9"/>
    <w:rsid w:val="00325B58"/>
    <w:rsid w:val="00325EDE"/>
    <w:rsid w:val="00335D3F"/>
    <w:rsid w:val="00341351"/>
    <w:rsid w:val="00351250"/>
    <w:rsid w:val="00353E8D"/>
    <w:rsid w:val="003543C7"/>
    <w:rsid w:val="003613DE"/>
    <w:rsid w:val="00371A18"/>
    <w:rsid w:val="0037283C"/>
    <w:rsid w:val="00375A88"/>
    <w:rsid w:val="00380054"/>
    <w:rsid w:val="003802C2"/>
    <w:rsid w:val="00381D86"/>
    <w:rsid w:val="00382A21"/>
    <w:rsid w:val="00385281"/>
    <w:rsid w:val="00386F9E"/>
    <w:rsid w:val="00390251"/>
    <w:rsid w:val="003914E1"/>
    <w:rsid w:val="00395D92"/>
    <w:rsid w:val="003975D8"/>
    <w:rsid w:val="003A0A0A"/>
    <w:rsid w:val="003A7D8E"/>
    <w:rsid w:val="003B711C"/>
    <w:rsid w:val="003C646B"/>
    <w:rsid w:val="003C7EA3"/>
    <w:rsid w:val="003D1216"/>
    <w:rsid w:val="003D63BC"/>
    <w:rsid w:val="003E36F1"/>
    <w:rsid w:val="003E3C5E"/>
    <w:rsid w:val="003E5CA9"/>
    <w:rsid w:val="003E7764"/>
    <w:rsid w:val="003F145F"/>
    <w:rsid w:val="003F33E7"/>
    <w:rsid w:val="003F3ABF"/>
    <w:rsid w:val="003F4DEB"/>
    <w:rsid w:val="00404FD0"/>
    <w:rsid w:val="00411786"/>
    <w:rsid w:val="00414435"/>
    <w:rsid w:val="00416B3A"/>
    <w:rsid w:val="004170F8"/>
    <w:rsid w:val="004366FD"/>
    <w:rsid w:val="004419C1"/>
    <w:rsid w:val="00450DAC"/>
    <w:rsid w:val="004543E1"/>
    <w:rsid w:val="0045747B"/>
    <w:rsid w:val="00457F83"/>
    <w:rsid w:val="00460B5E"/>
    <w:rsid w:val="00462383"/>
    <w:rsid w:val="0046590F"/>
    <w:rsid w:val="0046643F"/>
    <w:rsid w:val="00473CB1"/>
    <w:rsid w:val="004740FD"/>
    <w:rsid w:val="004846AE"/>
    <w:rsid w:val="00484961"/>
    <w:rsid w:val="004916EE"/>
    <w:rsid w:val="00493249"/>
    <w:rsid w:val="004957B0"/>
    <w:rsid w:val="00495A78"/>
    <w:rsid w:val="0049660A"/>
    <w:rsid w:val="00497945"/>
    <w:rsid w:val="004A0B63"/>
    <w:rsid w:val="004B21BC"/>
    <w:rsid w:val="004B30EA"/>
    <w:rsid w:val="004B41BC"/>
    <w:rsid w:val="004B5F7D"/>
    <w:rsid w:val="004B65C3"/>
    <w:rsid w:val="004B675E"/>
    <w:rsid w:val="004C4FF5"/>
    <w:rsid w:val="004C68F2"/>
    <w:rsid w:val="004D08B2"/>
    <w:rsid w:val="004D3913"/>
    <w:rsid w:val="004D43B6"/>
    <w:rsid w:val="004D5162"/>
    <w:rsid w:val="004E3656"/>
    <w:rsid w:val="004F04DA"/>
    <w:rsid w:val="004F09CC"/>
    <w:rsid w:val="004F56A0"/>
    <w:rsid w:val="00506DA4"/>
    <w:rsid w:val="00510864"/>
    <w:rsid w:val="00521C6B"/>
    <w:rsid w:val="005246A2"/>
    <w:rsid w:val="005246B2"/>
    <w:rsid w:val="00525CE2"/>
    <w:rsid w:val="00533BD6"/>
    <w:rsid w:val="005344AB"/>
    <w:rsid w:val="005352F5"/>
    <w:rsid w:val="0053635C"/>
    <w:rsid w:val="00537472"/>
    <w:rsid w:val="00565A76"/>
    <w:rsid w:val="00571DCE"/>
    <w:rsid w:val="00582445"/>
    <w:rsid w:val="00582ACB"/>
    <w:rsid w:val="005845FD"/>
    <w:rsid w:val="00584CD9"/>
    <w:rsid w:val="00594391"/>
    <w:rsid w:val="005A61FC"/>
    <w:rsid w:val="005A64E7"/>
    <w:rsid w:val="005A7958"/>
    <w:rsid w:val="005B0A30"/>
    <w:rsid w:val="005B0E18"/>
    <w:rsid w:val="005B3790"/>
    <w:rsid w:val="005B4E92"/>
    <w:rsid w:val="005B5053"/>
    <w:rsid w:val="005B68AB"/>
    <w:rsid w:val="005B78B6"/>
    <w:rsid w:val="005D7AC9"/>
    <w:rsid w:val="005D7E69"/>
    <w:rsid w:val="005E066F"/>
    <w:rsid w:val="005E09A9"/>
    <w:rsid w:val="005F1166"/>
    <w:rsid w:val="00600FB9"/>
    <w:rsid w:val="00604F54"/>
    <w:rsid w:val="00605AA3"/>
    <w:rsid w:val="00612A0E"/>
    <w:rsid w:val="00621D7B"/>
    <w:rsid w:val="00625152"/>
    <w:rsid w:val="006263B4"/>
    <w:rsid w:val="00631196"/>
    <w:rsid w:val="00631676"/>
    <w:rsid w:val="006358AC"/>
    <w:rsid w:val="0064522A"/>
    <w:rsid w:val="00645C0E"/>
    <w:rsid w:val="00647782"/>
    <w:rsid w:val="00660949"/>
    <w:rsid w:val="00670246"/>
    <w:rsid w:val="00670B0E"/>
    <w:rsid w:val="0067441C"/>
    <w:rsid w:val="00693447"/>
    <w:rsid w:val="00693EDB"/>
    <w:rsid w:val="006A16E1"/>
    <w:rsid w:val="006A72B0"/>
    <w:rsid w:val="006C2815"/>
    <w:rsid w:val="006D41E1"/>
    <w:rsid w:val="006D59F4"/>
    <w:rsid w:val="006D62B4"/>
    <w:rsid w:val="006E3DC3"/>
    <w:rsid w:val="006E55BA"/>
    <w:rsid w:val="006F01C8"/>
    <w:rsid w:val="006F29BD"/>
    <w:rsid w:val="00702427"/>
    <w:rsid w:val="00703901"/>
    <w:rsid w:val="00703FFA"/>
    <w:rsid w:val="0070725C"/>
    <w:rsid w:val="0070772E"/>
    <w:rsid w:val="00711A2B"/>
    <w:rsid w:val="00720A84"/>
    <w:rsid w:val="0072402F"/>
    <w:rsid w:val="00735AB8"/>
    <w:rsid w:val="00743B71"/>
    <w:rsid w:val="007550FC"/>
    <w:rsid w:val="00763C78"/>
    <w:rsid w:val="00783032"/>
    <w:rsid w:val="0078310C"/>
    <w:rsid w:val="007844FD"/>
    <w:rsid w:val="00785673"/>
    <w:rsid w:val="00791A90"/>
    <w:rsid w:val="007A1583"/>
    <w:rsid w:val="007A3D12"/>
    <w:rsid w:val="007A4845"/>
    <w:rsid w:val="007A526E"/>
    <w:rsid w:val="007B1F3D"/>
    <w:rsid w:val="007B3740"/>
    <w:rsid w:val="007B3B63"/>
    <w:rsid w:val="007B6374"/>
    <w:rsid w:val="007B7491"/>
    <w:rsid w:val="007C09A6"/>
    <w:rsid w:val="007C0B4F"/>
    <w:rsid w:val="007C73F1"/>
    <w:rsid w:val="007D061B"/>
    <w:rsid w:val="007D0F62"/>
    <w:rsid w:val="007E7B8D"/>
    <w:rsid w:val="007F1072"/>
    <w:rsid w:val="0081311C"/>
    <w:rsid w:val="00820732"/>
    <w:rsid w:val="00822F1C"/>
    <w:rsid w:val="00824130"/>
    <w:rsid w:val="0082738F"/>
    <w:rsid w:val="00830652"/>
    <w:rsid w:val="00831A1D"/>
    <w:rsid w:val="00836EAA"/>
    <w:rsid w:val="00841B87"/>
    <w:rsid w:val="0084653E"/>
    <w:rsid w:val="0085153C"/>
    <w:rsid w:val="008720EE"/>
    <w:rsid w:val="008744D3"/>
    <w:rsid w:val="00883CB5"/>
    <w:rsid w:val="00890EE7"/>
    <w:rsid w:val="0089723E"/>
    <w:rsid w:val="008A17EA"/>
    <w:rsid w:val="008B475D"/>
    <w:rsid w:val="008B59A1"/>
    <w:rsid w:val="008B64CD"/>
    <w:rsid w:val="008D0755"/>
    <w:rsid w:val="008D3509"/>
    <w:rsid w:val="008D5688"/>
    <w:rsid w:val="008D6628"/>
    <w:rsid w:val="008D749F"/>
    <w:rsid w:val="008D7D56"/>
    <w:rsid w:val="008E6E64"/>
    <w:rsid w:val="008F3D9E"/>
    <w:rsid w:val="008F4ABD"/>
    <w:rsid w:val="008F4F1F"/>
    <w:rsid w:val="00900C86"/>
    <w:rsid w:val="00913AB6"/>
    <w:rsid w:val="00920422"/>
    <w:rsid w:val="00921AF0"/>
    <w:rsid w:val="00921E56"/>
    <w:rsid w:val="00925DDE"/>
    <w:rsid w:val="009332C6"/>
    <w:rsid w:val="00935496"/>
    <w:rsid w:val="0093633C"/>
    <w:rsid w:val="00942295"/>
    <w:rsid w:val="00943080"/>
    <w:rsid w:val="00971459"/>
    <w:rsid w:val="00972E72"/>
    <w:rsid w:val="00974384"/>
    <w:rsid w:val="009763EC"/>
    <w:rsid w:val="009779F3"/>
    <w:rsid w:val="00982891"/>
    <w:rsid w:val="00986036"/>
    <w:rsid w:val="009A1693"/>
    <w:rsid w:val="009B1E10"/>
    <w:rsid w:val="009B2F22"/>
    <w:rsid w:val="009B33F8"/>
    <w:rsid w:val="009B6B49"/>
    <w:rsid w:val="009C06C0"/>
    <w:rsid w:val="009C3DA2"/>
    <w:rsid w:val="009C3E0A"/>
    <w:rsid w:val="009C6078"/>
    <w:rsid w:val="009D0324"/>
    <w:rsid w:val="009D067C"/>
    <w:rsid w:val="009D2060"/>
    <w:rsid w:val="009D2A9E"/>
    <w:rsid w:val="009D2EED"/>
    <w:rsid w:val="009D61F2"/>
    <w:rsid w:val="009E41EA"/>
    <w:rsid w:val="009F031F"/>
    <w:rsid w:val="009F6F81"/>
    <w:rsid w:val="009F77DB"/>
    <w:rsid w:val="00A03E9D"/>
    <w:rsid w:val="00A05E74"/>
    <w:rsid w:val="00A1017B"/>
    <w:rsid w:val="00A13D62"/>
    <w:rsid w:val="00A17C23"/>
    <w:rsid w:val="00A202E0"/>
    <w:rsid w:val="00A204DB"/>
    <w:rsid w:val="00A20963"/>
    <w:rsid w:val="00A20B6D"/>
    <w:rsid w:val="00A2218C"/>
    <w:rsid w:val="00A266FA"/>
    <w:rsid w:val="00A27479"/>
    <w:rsid w:val="00A276D7"/>
    <w:rsid w:val="00A27B37"/>
    <w:rsid w:val="00A30D6E"/>
    <w:rsid w:val="00A321E5"/>
    <w:rsid w:val="00A34F06"/>
    <w:rsid w:val="00A3733D"/>
    <w:rsid w:val="00A37CE3"/>
    <w:rsid w:val="00A42396"/>
    <w:rsid w:val="00A45D56"/>
    <w:rsid w:val="00A5384D"/>
    <w:rsid w:val="00A553A2"/>
    <w:rsid w:val="00A60498"/>
    <w:rsid w:val="00A60FE2"/>
    <w:rsid w:val="00A66644"/>
    <w:rsid w:val="00A66BC4"/>
    <w:rsid w:val="00A81603"/>
    <w:rsid w:val="00A861BA"/>
    <w:rsid w:val="00AA01EE"/>
    <w:rsid w:val="00AA64D1"/>
    <w:rsid w:val="00AB4ABA"/>
    <w:rsid w:val="00AC22AE"/>
    <w:rsid w:val="00AC7877"/>
    <w:rsid w:val="00AD1A36"/>
    <w:rsid w:val="00AD5037"/>
    <w:rsid w:val="00AE1440"/>
    <w:rsid w:val="00AE5290"/>
    <w:rsid w:val="00AF53AE"/>
    <w:rsid w:val="00B03E54"/>
    <w:rsid w:val="00B07B46"/>
    <w:rsid w:val="00B100A5"/>
    <w:rsid w:val="00B1045C"/>
    <w:rsid w:val="00B12DDD"/>
    <w:rsid w:val="00B12E0D"/>
    <w:rsid w:val="00B20DE3"/>
    <w:rsid w:val="00B22D02"/>
    <w:rsid w:val="00B2433E"/>
    <w:rsid w:val="00B24E07"/>
    <w:rsid w:val="00B259CC"/>
    <w:rsid w:val="00B25F45"/>
    <w:rsid w:val="00B26019"/>
    <w:rsid w:val="00B27AD3"/>
    <w:rsid w:val="00B31A86"/>
    <w:rsid w:val="00B33137"/>
    <w:rsid w:val="00B336FB"/>
    <w:rsid w:val="00B429A5"/>
    <w:rsid w:val="00B52456"/>
    <w:rsid w:val="00B528FE"/>
    <w:rsid w:val="00B61EB7"/>
    <w:rsid w:val="00B63BF9"/>
    <w:rsid w:val="00B65911"/>
    <w:rsid w:val="00B83C8C"/>
    <w:rsid w:val="00B866BB"/>
    <w:rsid w:val="00B918C4"/>
    <w:rsid w:val="00BA1EA7"/>
    <w:rsid w:val="00BA296E"/>
    <w:rsid w:val="00BA4529"/>
    <w:rsid w:val="00BA7462"/>
    <w:rsid w:val="00BB2AD1"/>
    <w:rsid w:val="00BB5B1B"/>
    <w:rsid w:val="00BF2583"/>
    <w:rsid w:val="00BF52FC"/>
    <w:rsid w:val="00BF69F0"/>
    <w:rsid w:val="00C00A45"/>
    <w:rsid w:val="00C12296"/>
    <w:rsid w:val="00C235D5"/>
    <w:rsid w:val="00C24909"/>
    <w:rsid w:val="00C25627"/>
    <w:rsid w:val="00C259C8"/>
    <w:rsid w:val="00C33E06"/>
    <w:rsid w:val="00C371D7"/>
    <w:rsid w:val="00C378F7"/>
    <w:rsid w:val="00C40106"/>
    <w:rsid w:val="00C40207"/>
    <w:rsid w:val="00C438B6"/>
    <w:rsid w:val="00C43EC3"/>
    <w:rsid w:val="00C54598"/>
    <w:rsid w:val="00C67339"/>
    <w:rsid w:val="00C74409"/>
    <w:rsid w:val="00C751F3"/>
    <w:rsid w:val="00C759A8"/>
    <w:rsid w:val="00C9054D"/>
    <w:rsid w:val="00C93BA5"/>
    <w:rsid w:val="00C93F64"/>
    <w:rsid w:val="00C96DEA"/>
    <w:rsid w:val="00CA2B6B"/>
    <w:rsid w:val="00CA5F97"/>
    <w:rsid w:val="00CC2A83"/>
    <w:rsid w:val="00CC359E"/>
    <w:rsid w:val="00CC7D44"/>
    <w:rsid w:val="00CD34A3"/>
    <w:rsid w:val="00CD5E63"/>
    <w:rsid w:val="00CE0AE4"/>
    <w:rsid w:val="00CE3246"/>
    <w:rsid w:val="00CE48B2"/>
    <w:rsid w:val="00CE5B2B"/>
    <w:rsid w:val="00CF554E"/>
    <w:rsid w:val="00CF5755"/>
    <w:rsid w:val="00CF5CBC"/>
    <w:rsid w:val="00D045C0"/>
    <w:rsid w:val="00D05420"/>
    <w:rsid w:val="00D12230"/>
    <w:rsid w:val="00D17621"/>
    <w:rsid w:val="00D202C2"/>
    <w:rsid w:val="00D23787"/>
    <w:rsid w:val="00D30170"/>
    <w:rsid w:val="00D302BC"/>
    <w:rsid w:val="00D3094A"/>
    <w:rsid w:val="00D312D9"/>
    <w:rsid w:val="00D33AD2"/>
    <w:rsid w:val="00D35A07"/>
    <w:rsid w:val="00D41300"/>
    <w:rsid w:val="00D435E3"/>
    <w:rsid w:val="00D46E50"/>
    <w:rsid w:val="00D508C8"/>
    <w:rsid w:val="00D558A7"/>
    <w:rsid w:val="00D6222E"/>
    <w:rsid w:val="00D62EF0"/>
    <w:rsid w:val="00D63978"/>
    <w:rsid w:val="00D67326"/>
    <w:rsid w:val="00D71359"/>
    <w:rsid w:val="00D7477F"/>
    <w:rsid w:val="00D74FAA"/>
    <w:rsid w:val="00D830C0"/>
    <w:rsid w:val="00D85000"/>
    <w:rsid w:val="00D87732"/>
    <w:rsid w:val="00D93A8C"/>
    <w:rsid w:val="00D95E0C"/>
    <w:rsid w:val="00DA4469"/>
    <w:rsid w:val="00DA7799"/>
    <w:rsid w:val="00DB0C94"/>
    <w:rsid w:val="00DB0D48"/>
    <w:rsid w:val="00DB6276"/>
    <w:rsid w:val="00DB67AC"/>
    <w:rsid w:val="00DB7146"/>
    <w:rsid w:val="00DC0B3C"/>
    <w:rsid w:val="00DC19DC"/>
    <w:rsid w:val="00DC2627"/>
    <w:rsid w:val="00DC2F0D"/>
    <w:rsid w:val="00DC3E45"/>
    <w:rsid w:val="00DD1ECB"/>
    <w:rsid w:val="00DE4C04"/>
    <w:rsid w:val="00DE54E4"/>
    <w:rsid w:val="00DF16D6"/>
    <w:rsid w:val="00DF588E"/>
    <w:rsid w:val="00DF7512"/>
    <w:rsid w:val="00E012C0"/>
    <w:rsid w:val="00E06026"/>
    <w:rsid w:val="00E16937"/>
    <w:rsid w:val="00E17512"/>
    <w:rsid w:val="00E176D2"/>
    <w:rsid w:val="00E254BC"/>
    <w:rsid w:val="00E2627B"/>
    <w:rsid w:val="00E377F5"/>
    <w:rsid w:val="00E52F55"/>
    <w:rsid w:val="00E55250"/>
    <w:rsid w:val="00E572CA"/>
    <w:rsid w:val="00E6040A"/>
    <w:rsid w:val="00E6692F"/>
    <w:rsid w:val="00E72FBE"/>
    <w:rsid w:val="00E778EB"/>
    <w:rsid w:val="00E82960"/>
    <w:rsid w:val="00E85C68"/>
    <w:rsid w:val="00E90A96"/>
    <w:rsid w:val="00EA123A"/>
    <w:rsid w:val="00EA14AA"/>
    <w:rsid w:val="00EA62AF"/>
    <w:rsid w:val="00EB0F0B"/>
    <w:rsid w:val="00EB65E9"/>
    <w:rsid w:val="00EC3F71"/>
    <w:rsid w:val="00ED13C5"/>
    <w:rsid w:val="00ED3901"/>
    <w:rsid w:val="00ED5806"/>
    <w:rsid w:val="00EE1FB2"/>
    <w:rsid w:val="00EE38F9"/>
    <w:rsid w:val="00EE664A"/>
    <w:rsid w:val="00EF093A"/>
    <w:rsid w:val="00EF1593"/>
    <w:rsid w:val="00EF16BF"/>
    <w:rsid w:val="00EF19A4"/>
    <w:rsid w:val="00EF4805"/>
    <w:rsid w:val="00F10DAB"/>
    <w:rsid w:val="00F119BE"/>
    <w:rsid w:val="00F1711E"/>
    <w:rsid w:val="00F20931"/>
    <w:rsid w:val="00F20AB0"/>
    <w:rsid w:val="00F32653"/>
    <w:rsid w:val="00F41C80"/>
    <w:rsid w:val="00F54E37"/>
    <w:rsid w:val="00F57548"/>
    <w:rsid w:val="00F705AA"/>
    <w:rsid w:val="00F737BA"/>
    <w:rsid w:val="00F82DB7"/>
    <w:rsid w:val="00FA04CA"/>
    <w:rsid w:val="00FA3A5F"/>
    <w:rsid w:val="00FA47E8"/>
    <w:rsid w:val="00FA4A6B"/>
    <w:rsid w:val="00FB7313"/>
    <w:rsid w:val="00FC4858"/>
    <w:rsid w:val="00FC7840"/>
    <w:rsid w:val="00FD1C84"/>
    <w:rsid w:val="00FE0833"/>
    <w:rsid w:val="00FE5EE9"/>
    <w:rsid w:val="00FF02F2"/>
    <w:rsid w:val="00FF7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7A722CC"/>
  <w15:chartTrackingRefBased/>
  <w15:docId w15:val="{B3F3B9F1-4D7C-4DC9-941D-3B83FBB07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20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65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78EB"/>
    <w:pPr>
      <w:spacing w:before="160" w:line="312" w:lineRule="auto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5F7D"/>
    <w:pPr>
      <w:keepNext/>
      <w:keepLines/>
      <w:pageBreakBefore/>
      <w:spacing w:before="280" w:line="240" w:lineRule="auto"/>
      <w:outlineLvl w:val="0"/>
    </w:pPr>
    <w:rPr>
      <w:rFonts w:asciiTheme="majorHAnsi" w:eastAsiaTheme="majorEastAsia" w:hAnsiTheme="majorHAnsi" w:cstheme="majorBidi"/>
      <w:b/>
      <w:color w:val="15234A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B5F7D"/>
    <w:pPr>
      <w:keepNext/>
      <w:keepLines/>
      <w:spacing w:before="280" w:line="240" w:lineRule="auto"/>
      <w:outlineLvl w:val="1"/>
    </w:pPr>
    <w:rPr>
      <w:rFonts w:asciiTheme="majorHAnsi" w:eastAsiaTheme="majorEastAsia" w:hAnsiTheme="majorHAnsi" w:cstheme="majorBidi"/>
      <w:b/>
      <w:color w:val="15234A"/>
      <w:sz w:val="3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B5F7D"/>
    <w:pPr>
      <w:keepNext/>
      <w:keepLines/>
      <w:spacing w:before="240" w:line="240" w:lineRule="auto"/>
      <w:outlineLvl w:val="2"/>
    </w:pPr>
    <w:rPr>
      <w:rFonts w:asciiTheme="majorHAnsi" w:eastAsiaTheme="majorEastAsia" w:hAnsiTheme="majorHAnsi" w:cstheme="majorBidi"/>
      <w:b/>
      <w:color w:val="00C1D5" w:themeColor="accent1"/>
      <w:sz w:val="3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B5F7D"/>
    <w:pPr>
      <w:keepNext/>
      <w:keepLines/>
      <w:spacing w:before="280" w:line="240" w:lineRule="auto"/>
      <w:outlineLvl w:val="3"/>
    </w:pPr>
    <w:rPr>
      <w:rFonts w:asciiTheme="majorHAnsi" w:eastAsiaTheme="majorEastAsia" w:hAnsiTheme="majorHAnsi" w:cstheme="majorBidi"/>
      <w:b/>
      <w:iCs/>
      <w:sz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B5F7D"/>
    <w:pPr>
      <w:keepNext/>
      <w:keepLines/>
      <w:spacing w:before="200" w:line="240" w:lineRule="auto"/>
      <w:outlineLvl w:val="4"/>
    </w:pPr>
    <w:rPr>
      <w:rFonts w:asciiTheme="majorHAnsi" w:eastAsiaTheme="majorEastAsia" w:hAnsiTheme="majorHAnsi" w:cstheme="majorBidi"/>
      <w:color w:val="2F549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B5F7D"/>
    <w:pPr>
      <w:keepNext/>
      <w:keepLines/>
      <w:spacing w:before="240" w:line="240" w:lineRule="auto"/>
      <w:outlineLvl w:val="5"/>
    </w:pPr>
    <w:rPr>
      <w:rFonts w:asciiTheme="majorHAnsi" w:eastAsiaTheme="majorEastAsia" w:hAnsiTheme="majorHAnsi" w:cstheme="majorBidi"/>
      <w:color w:val="15234A" w:themeColor="text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B5F7D"/>
    <w:pPr>
      <w:keepNext/>
      <w:keepLines/>
      <w:spacing w:before="240" w:line="240" w:lineRule="auto"/>
      <w:outlineLvl w:val="6"/>
    </w:pPr>
    <w:rPr>
      <w:rFonts w:asciiTheme="majorHAnsi" w:eastAsiaTheme="majorEastAsia" w:hAnsiTheme="majorHAnsi" w:cstheme="majorBidi"/>
      <w:i/>
      <w:iCs/>
      <w:color w:val="15234A" w:themeColor="text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B5F7D"/>
    <w:pPr>
      <w:keepNext/>
      <w:keepLines/>
      <w:spacing w:before="240" w:line="240" w:lineRule="auto"/>
      <w:outlineLvl w:val="7"/>
    </w:pPr>
    <w:rPr>
      <w:rFonts w:asciiTheme="majorHAnsi" w:eastAsiaTheme="majorEastAsia" w:hAnsiTheme="majorHAnsi" w:cstheme="majorBidi"/>
      <w:color w:val="000000" w:themeColor="text1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B5F7D"/>
    <w:pPr>
      <w:keepNext/>
      <w:keepLines/>
      <w:spacing w:before="240" w:line="240" w:lineRule="auto"/>
      <w:outlineLvl w:val="8"/>
    </w:pPr>
    <w:rPr>
      <w:rFonts w:asciiTheme="majorHAnsi" w:eastAsiaTheme="majorEastAsia" w:hAnsiTheme="majorHAnsi" w:cstheme="majorBidi"/>
      <w:i/>
      <w:iCs/>
      <w:color w:val="000000" w:themeColor="text1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33E7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3E7"/>
    <w:rPr>
      <w:rFonts w:ascii="Segoe UI" w:hAnsi="Segoe UI" w:cs="Segoe UI"/>
      <w:sz w:val="18"/>
      <w:szCs w:val="18"/>
    </w:rPr>
  </w:style>
  <w:style w:type="character" w:styleId="BookTitle">
    <w:name w:val="Book Title"/>
    <w:basedOn w:val="DefaultParagraphFont"/>
    <w:uiPriority w:val="65"/>
    <w:qFormat/>
    <w:rsid w:val="003F33E7"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rsid w:val="009B6B49"/>
    <w:p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F33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33E7"/>
    <w:pPr>
      <w:spacing w:before="0"/>
    </w:pPr>
    <w:rPr>
      <w:rFonts w:ascii="Arial" w:eastAsia="Arial" w:hAnsi="Arial" w:cs="Arial"/>
      <w:szCs w:val="20"/>
      <w:lang w:val="nl-BE"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33E7"/>
    <w:rPr>
      <w:rFonts w:ascii="Arial" w:eastAsia="Arial" w:hAnsi="Arial" w:cs="Arial"/>
      <w:sz w:val="20"/>
      <w:szCs w:val="20"/>
      <w:lang w:val="nl-BE" w:eastAsia="en-GB"/>
    </w:rPr>
  </w:style>
  <w:style w:type="character" w:styleId="Emphasis">
    <w:name w:val="Emphasis"/>
    <w:basedOn w:val="DefaultParagraphFont"/>
    <w:uiPriority w:val="20"/>
    <w:qFormat/>
    <w:rsid w:val="003F33E7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F33E7"/>
    <w:pPr>
      <w:spacing w:before="0"/>
    </w:pPr>
    <w:rPr>
      <w:sz w:val="18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F33E7"/>
    <w:rPr>
      <w:sz w:val="18"/>
      <w:szCs w:val="20"/>
    </w:rPr>
  </w:style>
  <w:style w:type="paragraph" w:styleId="TOC9">
    <w:name w:val="toc 9"/>
    <w:basedOn w:val="Normal"/>
    <w:next w:val="Normal"/>
    <w:autoRedefine/>
    <w:uiPriority w:val="39"/>
    <w:semiHidden/>
    <w:rsid w:val="00230677"/>
    <w:pPr>
      <w:tabs>
        <w:tab w:val="right" w:leader="underscore" w:pos="9072"/>
      </w:tabs>
      <w:spacing w:after="100" w:line="240" w:lineRule="auto"/>
    </w:pPr>
    <w:rPr>
      <w:color w:val="15234A" w:themeColor="text2"/>
    </w:rPr>
  </w:style>
  <w:style w:type="paragraph" w:styleId="TOC8">
    <w:name w:val="toc 8"/>
    <w:basedOn w:val="Normal"/>
    <w:next w:val="Normal"/>
    <w:autoRedefine/>
    <w:uiPriority w:val="39"/>
    <w:semiHidden/>
    <w:rsid w:val="00230677"/>
    <w:pPr>
      <w:tabs>
        <w:tab w:val="right" w:leader="underscore" w:pos="9072"/>
      </w:tabs>
      <w:spacing w:after="100" w:line="240" w:lineRule="auto"/>
    </w:pPr>
    <w:rPr>
      <w:color w:val="15234A" w:themeColor="text2"/>
    </w:rPr>
  </w:style>
  <w:style w:type="paragraph" w:customStyle="1" w:styleId="Focustext">
    <w:name w:val="Focus text"/>
    <w:basedOn w:val="Normal"/>
    <w:uiPriority w:val="24"/>
    <w:qFormat/>
    <w:rsid w:val="0067441C"/>
    <w:pPr>
      <w:pBdr>
        <w:top w:val="single" w:sz="18" w:space="10" w:color="00C1D5" w:themeColor="accent1"/>
        <w:left w:val="single" w:sz="18" w:space="10" w:color="00C1D5" w:themeColor="accent1"/>
        <w:bottom w:val="single" w:sz="18" w:space="10" w:color="00C1D5" w:themeColor="accent1"/>
        <w:right w:val="single" w:sz="18" w:space="10" w:color="00C1D5" w:themeColor="accent1"/>
      </w:pBdr>
      <w:spacing w:before="240" w:after="240"/>
      <w:jc w:val="center"/>
    </w:pPr>
    <w:rPr>
      <w:rFonts w:ascii="Century Gothic" w:eastAsiaTheme="minorEastAsia" w:hAnsi="Century Gothic"/>
      <w:b/>
      <w:bCs/>
      <w:szCs w:val="20"/>
      <w:lang w:val="en-US" w:eastAsia="nl-NL"/>
      <w14:textFill>
        <w14:gradFill>
          <w14:gsLst>
            <w14:gs w14:pos="0">
              <w14:schemeClr w14:val="accent1"/>
            </w14:gs>
            <w14:gs w14:pos="100000">
              <w14:schemeClr w14:val="accent6"/>
            </w14:gs>
          </w14:gsLst>
          <w14:lin w14:ang="2700000" w14:scaled="0"/>
        </w14:gradFill>
      </w14:textFill>
    </w:rPr>
  </w:style>
  <w:style w:type="paragraph" w:customStyle="1" w:styleId="Focustext2">
    <w:name w:val="Focus text 2"/>
    <w:basedOn w:val="Normal"/>
    <w:uiPriority w:val="24"/>
    <w:qFormat/>
    <w:rsid w:val="003F33E7"/>
    <w:pPr>
      <w:pBdr>
        <w:top w:val="single" w:sz="18" w:space="10" w:color="15234A" w:themeColor="text2"/>
        <w:left w:val="single" w:sz="18" w:space="10" w:color="15234A" w:themeColor="text2"/>
        <w:bottom w:val="single" w:sz="18" w:space="10" w:color="15234A" w:themeColor="text2"/>
        <w:right w:val="single" w:sz="18" w:space="10" w:color="15234A" w:themeColor="text2"/>
      </w:pBdr>
      <w:spacing w:before="240" w:after="240"/>
      <w:jc w:val="center"/>
    </w:pPr>
    <w:rPr>
      <w:rFonts w:ascii="Century Gothic" w:eastAsiaTheme="minorEastAsia" w:hAnsi="Century Gothic"/>
      <w:b/>
      <w:bCs/>
      <w:color w:val="15234A"/>
      <w:szCs w:val="20"/>
      <w:lang w:val="en-US" w:eastAsia="nl-NL"/>
    </w:rPr>
  </w:style>
  <w:style w:type="paragraph" w:styleId="Footer">
    <w:name w:val="footer"/>
    <w:basedOn w:val="Normal"/>
    <w:link w:val="FooterChar"/>
    <w:uiPriority w:val="99"/>
    <w:unhideWhenUsed/>
    <w:rsid w:val="003F33E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33E7"/>
    <w:rPr>
      <w:sz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F33E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F33E7"/>
    <w:pPr>
      <w:spacing w:before="0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F33E7"/>
    <w:rPr>
      <w:sz w:val="18"/>
      <w:szCs w:val="20"/>
    </w:rPr>
  </w:style>
  <w:style w:type="paragraph" w:styleId="Header">
    <w:name w:val="header"/>
    <w:basedOn w:val="Normal"/>
    <w:link w:val="HeaderChar"/>
    <w:uiPriority w:val="99"/>
    <w:unhideWhenUsed/>
    <w:rsid w:val="003F33E7"/>
    <w:pPr>
      <w:tabs>
        <w:tab w:val="center" w:pos="4513"/>
        <w:tab w:val="right" w:pos="9026"/>
      </w:tabs>
      <w:spacing w:before="0" w:after="200"/>
    </w:pPr>
  </w:style>
  <w:style w:type="character" w:customStyle="1" w:styleId="HeaderChar">
    <w:name w:val="Header Char"/>
    <w:basedOn w:val="DefaultParagraphFont"/>
    <w:link w:val="Header"/>
    <w:uiPriority w:val="99"/>
    <w:rsid w:val="003F33E7"/>
    <w:rPr>
      <w:sz w:val="20"/>
    </w:rPr>
  </w:style>
  <w:style w:type="character" w:styleId="Hyperlink">
    <w:name w:val="Hyperlink"/>
    <w:basedOn w:val="DefaultParagraphFont"/>
    <w:uiPriority w:val="99"/>
    <w:unhideWhenUsed/>
    <w:rsid w:val="003F33E7"/>
    <w:rPr>
      <w:color w:val="15234A" w:themeColor="hyperlink"/>
      <w:u w:val="single"/>
    </w:rPr>
  </w:style>
  <w:style w:type="character" w:styleId="IntenseEmphasis">
    <w:name w:val="Intense Emphasis"/>
    <w:basedOn w:val="DefaultParagraphFont"/>
    <w:uiPriority w:val="21"/>
    <w:qFormat/>
    <w:rsid w:val="003F33E7"/>
    <w:rPr>
      <w:b/>
      <w:i/>
      <w:iCs/>
      <w:color w:val="0085CA" w:themeColor="accent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F33E7"/>
    <w:pPr>
      <w:spacing w:after="360"/>
      <w:ind w:left="862" w:right="862"/>
      <w:jc w:val="center"/>
    </w:pPr>
    <w:rPr>
      <w:b/>
      <w:iCs/>
      <w:color w:val="15234A"/>
      <w:sz w:val="24"/>
      <w14:textFill>
        <w14:gradFill>
          <w14:gsLst>
            <w14:gs w14:pos="0">
              <w14:srgbClr w14:val="00C1D5"/>
            </w14:gs>
            <w14:gs w14:pos="100000">
              <w14:srgbClr w14:val="B5BD00"/>
            </w14:gs>
          </w14:gsLst>
          <w14:lin w14:ang="2700000" w14:scaled="0"/>
        </w14:gradFill>
      </w14:textFill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F33E7"/>
    <w:rPr>
      <w:b/>
      <w:iCs/>
      <w:color w:val="15234A"/>
      <w:sz w:val="24"/>
      <w14:textFill>
        <w14:gradFill>
          <w14:gsLst>
            <w14:gs w14:pos="0">
              <w14:srgbClr w14:val="00C1D5"/>
            </w14:gs>
            <w14:gs w14:pos="100000">
              <w14:srgbClr w14:val="B5BD00"/>
            </w14:gs>
          </w14:gsLst>
          <w14:lin w14:ang="2700000" w14:scaled="0"/>
        </w14:gradFill>
      </w14:textFill>
    </w:rPr>
  </w:style>
  <w:style w:type="character" w:styleId="IntenseReference">
    <w:name w:val="Intense Reference"/>
    <w:basedOn w:val="DefaultParagraphFont"/>
    <w:uiPriority w:val="32"/>
    <w:qFormat/>
    <w:rsid w:val="003F33E7"/>
    <w:rPr>
      <w:b/>
      <w:bCs/>
      <w:smallCaps/>
      <w:color w:val="152361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3F33E7"/>
    <w:pPr>
      <w:spacing w:before="0" w:line="257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3F33E7"/>
    <w:rPr>
      <w:sz w:val="20"/>
    </w:rPr>
  </w:style>
  <w:style w:type="paragraph" w:styleId="NormalWeb">
    <w:name w:val="Normal (Web)"/>
    <w:basedOn w:val="Normal"/>
    <w:uiPriority w:val="99"/>
    <w:semiHidden/>
    <w:unhideWhenUsed/>
    <w:rsid w:val="003F33E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styleId="PageNumber">
    <w:name w:val="page number"/>
    <w:basedOn w:val="DefaultParagraphFont"/>
    <w:uiPriority w:val="99"/>
    <w:semiHidden/>
    <w:unhideWhenUsed/>
    <w:rsid w:val="003F33E7"/>
  </w:style>
  <w:style w:type="table" w:styleId="PlainTable4">
    <w:name w:val="Plain Table 4"/>
    <w:basedOn w:val="TableNormal"/>
    <w:uiPriority w:val="44"/>
    <w:rsid w:val="003F33E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Quote">
    <w:name w:val="Quote"/>
    <w:basedOn w:val="Normal"/>
    <w:next w:val="Normal"/>
    <w:link w:val="QuoteChar"/>
    <w:uiPriority w:val="29"/>
    <w:qFormat/>
    <w:rsid w:val="00AB4ABA"/>
    <w:pPr>
      <w:spacing w:before="240" w:after="240"/>
      <w:ind w:left="862" w:right="862"/>
      <w:jc w:val="center"/>
    </w:pPr>
    <w:rPr>
      <w:b/>
      <w:iCs/>
      <w:color w:val="B5BD00" w:themeColor="accent6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AB4ABA"/>
    <w:rPr>
      <w:b/>
      <w:iCs/>
      <w:color w:val="B5BD00" w:themeColor="accent6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6263B4"/>
    <w:pPr>
      <w:numPr>
        <w:ilvl w:val="1"/>
      </w:numPr>
      <w:spacing w:before="200" w:after="160" w:line="240" w:lineRule="auto"/>
    </w:pPr>
    <w:rPr>
      <w:rFonts w:asciiTheme="majorHAnsi" w:eastAsiaTheme="minorEastAsia" w:hAnsiTheme="majorHAnsi"/>
      <w:color w:val="15234A"/>
      <w:spacing w:val="15"/>
      <w:sz w:val="40"/>
    </w:rPr>
  </w:style>
  <w:style w:type="character" w:customStyle="1" w:styleId="SubtitleChar">
    <w:name w:val="Subtitle Char"/>
    <w:basedOn w:val="DefaultParagraphFont"/>
    <w:link w:val="Subtitle"/>
    <w:uiPriority w:val="11"/>
    <w:rsid w:val="006263B4"/>
    <w:rPr>
      <w:rFonts w:asciiTheme="majorHAnsi" w:eastAsiaTheme="minorEastAsia" w:hAnsiTheme="majorHAnsi"/>
      <w:color w:val="15234A"/>
      <w:spacing w:val="15"/>
      <w:sz w:val="40"/>
    </w:rPr>
  </w:style>
  <w:style w:type="character" w:styleId="SubtleEmphasis">
    <w:name w:val="Subtle Emphasis"/>
    <w:basedOn w:val="DefaultParagraphFont"/>
    <w:uiPriority w:val="19"/>
    <w:qFormat/>
    <w:rsid w:val="009B6B49"/>
    <w:rPr>
      <w:rFonts w:asciiTheme="minorHAnsi" w:hAnsiTheme="minorHAnsi"/>
      <w:i/>
      <w:iCs/>
      <w:color w:val="404040" w:themeColor="text1" w:themeTint="BF"/>
      <w:sz w:val="18"/>
      <w:szCs w:val="17"/>
    </w:rPr>
  </w:style>
  <w:style w:type="character" w:styleId="SubtleReference">
    <w:name w:val="Subtle Reference"/>
    <w:basedOn w:val="DefaultParagraphFont"/>
    <w:uiPriority w:val="31"/>
    <w:qFormat/>
    <w:rsid w:val="003F33E7"/>
    <w:rPr>
      <w:smallCaps/>
      <w:color w:val="15234A"/>
    </w:rPr>
  </w:style>
  <w:style w:type="table" w:styleId="TableGrid">
    <w:name w:val="Table Grid"/>
    <w:basedOn w:val="TableNormal"/>
    <w:uiPriority w:val="39"/>
    <w:rsid w:val="003F33E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6263B4"/>
    <w:pPr>
      <w:spacing w:before="200" w:line="240" w:lineRule="auto"/>
      <w:contextualSpacing/>
    </w:pPr>
    <w:rPr>
      <w:rFonts w:asciiTheme="majorHAnsi" w:eastAsiaTheme="majorEastAsia" w:hAnsiTheme="majorHAnsi" w:cstheme="majorBidi"/>
      <w:b/>
      <w:color w:val="15234A"/>
      <w:spacing w:val="-10"/>
      <w:kern w:val="28"/>
      <w:sz w:val="6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263B4"/>
    <w:rPr>
      <w:rFonts w:asciiTheme="majorHAnsi" w:eastAsiaTheme="majorEastAsia" w:hAnsiTheme="majorHAnsi" w:cstheme="majorBidi"/>
      <w:b/>
      <w:color w:val="15234A"/>
      <w:spacing w:val="-10"/>
      <w:kern w:val="28"/>
      <w:sz w:val="60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4B5F7D"/>
    <w:rPr>
      <w:rFonts w:asciiTheme="majorHAnsi" w:eastAsiaTheme="majorEastAsia" w:hAnsiTheme="majorHAnsi" w:cstheme="majorBidi"/>
      <w:b/>
      <w:color w:val="15234A"/>
      <w:sz w:val="44"/>
      <w:szCs w:val="32"/>
    </w:rPr>
  </w:style>
  <w:style w:type="paragraph" w:styleId="TOCHeading">
    <w:name w:val="TOC Heading"/>
    <w:next w:val="Normal"/>
    <w:uiPriority w:val="39"/>
    <w:semiHidden/>
    <w:qFormat/>
    <w:rsid w:val="00230677"/>
    <w:pPr>
      <w:keepNext/>
      <w:keepLines/>
      <w:spacing w:line="240" w:lineRule="auto"/>
    </w:pPr>
    <w:rPr>
      <w:rFonts w:asciiTheme="majorHAnsi" w:eastAsiaTheme="majorEastAsia" w:hAnsiTheme="majorHAnsi" w:cstheme="majorBidi"/>
      <w:b/>
      <w:color w:val="15234A" w:themeColor="text2"/>
      <w:sz w:val="44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semiHidden/>
    <w:rsid w:val="00230677"/>
    <w:pPr>
      <w:tabs>
        <w:tab w:val="right" w:leader="underscore" w:pos="9072"/>
      </w:tabs>
      <w:spacing w:after="100" w:line="240" w:lineRule="auto"/>
    </w:pPr>
    <w:rPr>
      <w:b/>
      <w:color w:val="15234A" w:themeColor="text2"/>
      <w:sz w:val="28"/>
    </w:rPr>
  </w:style>
  <w:style w:type="paragraph" w:customStyle="1" w:styleId="Tabletext">
    <w:name w:val="Table text"/>
    <w:basedOn w:val="Normal"/>
    <w:link w:val="TabletextChar"/>
    <w:uiPriority w:val="16"/>
    <w:qFormat/>
    <w:rsid w:val="006263B4"/>
    <w:pPr>
      <w:spacing w:before="0" w:line="240" w:lineRule="auto"/>
    </w:pPr>
    <w:rPr>
      <w:sz w:val="16"/>
    </w:rPr>
  </w:style>
  <w:style w:type="character" w:customStyle="1" w:styleId="TabletextChar">
    <w:name w:val="Table text Char"/>
    <w:basedOn w:val="DefaultParagraphFont"/>
    <w:link w:val="Tabletext"/>
    <w:uiPriority w:val="16"/>
    <w:rsid w:val="006263B4"/>
    <w:rPr>
      <w:sz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B5F7D"/>
    <w:rPr>
      <w:rFonts w:asciiTheme="majorHAnsi" w:eastAsiaTheme="majorEastAsia" w:hAnsiTheme="majorHAnsi" w:cstheme="majorBidi"/>
      <w:b/>
      <w:color w:val="15234A"/>
      <w:sz w:val="3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B5F7D"/>
    <w:rPr>
      <w:rFonts w:asciiTheme="majorHAnsi" w:eastAsiaTheme="majorEastAsia" w:hAnsiTheme="majorHAnsi" w:cstheme="majorBidi"/>
      <w:b/>
      <w:color w:val="00C1D5" w:themeColor="accent1"/>
      <w:sz w:val="3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B5F7D"/>
    <w:rPr>
      <w:rFonts w:asciiTheme="majorHAnsi" w:eastAsiaTheme="majorEastAsia" w:hAnsiTheme="majorHAnsi" w:cstheme="majorBidi"/>
      <w:b/>
      <w:iCs/>
      <w:sz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B5F7D"/>
    <w:rPr>
      <w:rFonts w:asciiTheme="majorHAnsi" w:eastAsiaTheme="majorEastAsia" w:hAnsiTheme="majorHAnsi" w:cstheme="majorBidi"/>
      <w:color w:val="2F5496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B5F7D"/>
    <w:rPr>
      <w:rFonts w:asciiTheme="majorHAnsi" w:eastAsiaTheme="majorEastAsia" w:hAnsiTheme="majorHAnsi" w:cstheme="majorBidi"/>
      <w:color w:val="15234A" w:themeColor="text2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B5F7D"/>
    <w:rPr>
      <w:rFonts w:asciiTheme="majorHAnsi" w:eastAsiaTheme="majorEastAsia" w:hAnsiTheme="majorHAnsi" w:cstheme="majorBidi"/>
      <w:i/>
      <w:iCs/>
      <w:color w:val="15234A" w:themeColor="text2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B5F7D"/>
    <w:rPr>
      <w:rFonts w:asciiTheme="majorHAnsi" w:eastAsiaTheme="majorEastAsia" w:hAnsiTheme="majorHAnsi" w:cstheme="majorBidi"/>
      <w:color w:val="000000" w:themeColor="text1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B5F7D"/>
    <w:rPr>
      <w:rFonts w:asciiTheme="majorHAnsi" w:eastAsiaTheme="majorEastAsia" w:hAnsiTheme="majorHAnsi" w:cstheme="majorBidi"/>
      <w:i/>
      <w:iCs/>
      <w:color w:val="000000" w:themeColor="text1"/>
      <w:sz w:val="21"/>
      <w:szCs w:val="21"/>
    </w:rPr>
  </w:style>
  <w:style w:type="table" w:customStyle="1" w:styleId="FluxysTable1">
    <w:name w:val="Fluxys Table 1"/>
    <w:basedOn w:val="TableNormal"/>
    <w:uiPriority w:val="99"/>
    <w:rsid w:val="0081311C"/>
    <w:pPr>
      <w:spacing w:before="0" w:line="240" w:lineRule="auto"/>
    </w:pPr>
    <w:tblPr>
      <w:tblBorders>
        <w:bottom w:val="single" w:sz="4" w:space="0" w:color="AA0061"/>
        <w:insideH w:val="single" w:sz="4" w:space="0" w:color="AA0061"/>
      </w:tblBorders>
    </w:tblPr>
    <w:tcPr>
      <w:vAlign w:val="center"/>
    </w:tcPr>
    <w:tblStylePr w:type="firstRow">
      <w:rPr>
        <w:b/>
        <w:i w:val="0"/>
        <w:color w:val="AA0061"/>
      </w:rPr>
      <w:tblPr/>
      <w:tcPr>
        <w:tcBorders>
          <w:top w:val="nil"/>
          <w:left w:val="nil"/>
          <w:bottom w:val="single" w:sz="18" w:space="0" w:color="AA0061"/>
          <w:right w:val="nil"/>
          <w:insideH w:val="nil"/>
          <w:insideV w:val="nil"/>
          <w:tl2br w:val="nil"/>
          <w:tr2bl w:val="nil"/>
        </w:tcBorders>
      </w:tcPr>
    </w:tblStylePr>
    <w:tblStylePr w:type="nwCell">
      <w:pPr>
        <w:keepNext/>
        <w:wordWrap/>
      </w:pPr>
    </w:tblStylePr>
  </w:style>
  <w:style w:type="table" w:customStyle="1" w:styleId="FluxysTable2">
    <w:name w:val="Fluxys Table 2"/>
    <w:basedOn w:val="TableNormal"/>
    <w:uiPriority w:val="99"/>
    <w:rsid w:val="001535FF"/>
    <w:pPr>
      <w:spacing w:before="0" w:line="240" w:lineRule="auto"/>
    </w:pPr>
    <w:tblPr>
      <w:tblBorders>
        <w:bottom w:val="single" w:sz="8" w:space="0" w:color="auto"/>
        <w:insideH w:val="single" w:sz="8" w:space="0" w:color="auto"/>
      </w:tblBorders>
    </w:tblPr>
    <w:tblStylePr w:type="firstRow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15234A"/>
        <w:vAlign w:val="center"/>
      </w:tcPr>
    </w:tblStylePr>
    <w:tblStylePr w:type="nwCell">
      <w:pPr>
        <w:keepNext/>
        <w:wordWrap/>
      </w:pPr>
    </w:tblStylePr>
  </w:style>
  <w:style w:type="paragraph" w:styleId="TOC7">
    <w:name w:val="toc 7"/>
    <w:basedOn w:val="Normal"/>
    <w:next w:val="Normal"/>
    <w:autoRedefine/>
    <w:uiPriority w:val="39"/>
    <w:semiHidden/>
    <w:rsid w:val="00230677"/>
    <w:pPr>
      <w:tabs>
        <w:tab w:val="right" w:leader="underscore" w:pos="9072"/>
      </w:tabs>
      <w:spacing w:after="100" w:line="240" w:lineRule="auto"/>
    </w:pPr>
    <w:rPr>
      <w:color w:val="15234A"/>
    </w:rPr>
  </w:style>
  <w:style w:type="paragraph" w:styleId="TOC6">
    <w:name w:val="toc 6"/>
    <w:basedOn w:val="Normal"/>
    <w:next w:val="Normal"/>
    <w:autoRedefine/>
    <w:uiPriority w:val="39"/>
    <w:semiHidden/>
    <w:rsid w:val="00230677"/>
    <w:pPr>
      <w:tabs>
        <w:tab w:val="right" w:leader="underscore" w:pos="9072"/>
      </w:tabs>
      <w:spacing w:after="100" w:line="240" w:lineRule="auto"/>
    </w:pPr>
    <w:rPr>
      <w:color w:val="15234A" w:themeColor="text2"/>
    </w:rPr>
  </w:style>
  <w:style w:type="paragraph" w:styleId="TOC5">
    <w:name w:val="toc 5"/>
    <w:basedOn w:val="Normal"/>
    <w:next w:val="Normal"/>
    <w:autoRedefine/>
    <w:uiPriority w:val="39"/>
    <w:semiHidden/>
    <w:rsid w:val="00230677"/>
    <w:pPr>
      <w:tabs>
        <w:tab w:val="right" w:leader="underscore" w:pos="9072"/>
      </w:tabs>
      <w:spacing w:after="100" w:line="240" w:lineRule="auto"/>
    </w:pPr>
    <w:rPr>
      <w:color w:val="15234A"/>
    </w:rPr>
  </w:style>
  <w:style w:type="paragraph" w:styleId="TOC4">
    <w:name w:val="toc 4"/>
    <w:basedOn w:val="Normal"/>
    <w:next w:val="Normal"/>
    <w:autoRedefine/>
    <w:uiPriority w:val="39"/>
    <w:semiHidden/>
    <w:rsid w:val="00230677"/>
    <w:pPr>
      <w:tabs>
        <w:tab w:val="right" w:leader="underscore" w:pos="9072"/>
      </w:tabs>
      <w:spacing w:after="100" w:line="240" w:lineRule="auto"/>
    </w:pPr>
    <w:rPr>
      <w:color w:val="15234A" w:themeColor="text2"/>
    </w:rPr>
  </w:style>
  <w:style w:type="paragraph" w:styleId="TOC3">
    <w:name w:val="toc 3"/>
    <w:basedOn w:val="Normal"/>
    <w:next w:val="Normal"/>
    <w:autoRedefine/>
    <w:uiPriority w:val="39"/>
    <w:semiHidden/>
    <w:rsid w:val="00711A2B"/>
    <w:pPr>
      <w:tabs>
        <w:tab w:val="right" w:leader="underscore" w:pos="9072"/>
      </w:tabs>
      <w:spacing w:after="100" w:line="240" w:lineRule="auto"/>
    </w:pPr>
    <w:rPr>
      <w:color w:val="000000"/>
    </w:rPr>
  </w:style>
  <w:style w:type="paragraph" w:styleId="TOC2">
    <w:name w:val="toc 2"/>
    <w:basedOn w:val="Normal"/>
    <w:next w:val="Normal"/>
    <w:autoRedefine/>
    <w:uiPriority w:val="39"/>
    <w:semiHidden/>
    <w:rsid w:val="00E778EB"/>
    <w:pPr>
      <w:tabs>
        <w:tab w:val="right" w:leader="underscore" w:pos="9072"/>
      </w:tabs>
      <w:spacing w:after="100"/>
    </w:pPr>
    <w:rPr>
      <w:b/>
      <w:color w:val="15234A"/>
    </w:rPr>
  </w:style>
  <w:style w:type="character" w:styleId="Strong">
    <w:name w:val="Strong"/>
    <w:basedOn w:val="DefaultParagraphFont"/>
    <w:uiPriority w:val="22"/>
    <w:qFormat/>
    <w:rsid w:val="003A7D8E"/>
    <w:rPr>
      <w:b/>
      <w:bCs/>
    </w:rPr>
  </w:style>
  <w:style w:type="paragraph" w:styleId="Revision">
    <w:name w:val="Revision"/>
    <w:hidden/>
    <w:uiPriority w:val="99"/>
    <w:semiHidden/>
    <w:rsid w:val="0019533E"/>
    <w:pPr>
      <w:spacing w:before="0" w:line="240" w:lineRule="auto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69F4"/>
    <w:pPr>
      <w:spacing w:before="160" w:line="240" w:lineRule="auto"/>
    </w:pPr>
    <w:rPr>
      <w:rFonts w:asciiTheme="minorHAnsi" w:eastAsiaTheme="minorHAnsi" w:hAnsiTheme="minorHAnsi" w:cstheme="minorBidi"/>
      <w:b/>
      <w:bCs/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69F4"/>
    <w:rPr>
      <w:rFonts w:ascii="Arial" w:eastAsia="Arial" w:hAnsi="Arial" w:cs="Arial"/>
      <w:b/>
      <w:bCs/>
      <w:sz w:val="20"/>
      <w:szCs w:val="20"/>
      <w:lang w:val="nl-BE" w:eastAsia="en-GB"/>
    </w:rPr>
  </w:style>
  <w:style w:type="character" w:styleId="UnresolvedMention">
    <w:name w:val="Unresolved Mention"/>
    <w:basedOn w:val="DefaultParagraphFont"/>
    <w:uiPriority w:val="99"/>
    <w:unhideWhenUsed/>
    <w:rsid w:val="00BB2AD1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BB2AD1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entral.fluxys.int\dfs\SHA\010%20Templates\03%20-%20Fluxys%20LNG\1_Fluxys_general_word_template.dotx" TargetMode="External"/></Relationships>
</file>

<file path=word/theme/theme1.xml><?xml version="1.0" encoding="utf-8"?>
<a:theme xmlns:a="http://schemas.openxmlformats.org/drawingml/2006/main" name="Fluxys">
  <a:themeElements>
    <a:clrScheme name="Fluxys">
      <a:dk1>
        <a:srgbClr val="000000"/>
      </a:dk1>
      <a:lt1>
        <a:sysClr val="window" lastClr="FFFFFF"/>
      </a:lt1>
      <a:dk2>
        <a:srgbClr val="15234A"/>
      </a:dk2>
      <a:lt2>
        <a:srgbClr val="C8C8C8"/>
      </a:lt2>
      <a:accent1>
        <a:srgbClr val="00C1D5"/>
      </a:accent1>
      <a:accent2>
        <a:srgbClr val="CC8A00"/>
      </a:accent2>
      <a:accent3>
        <a:srgbClr val="91D6AC"/>
      </a:accent3>
      <a:accent4>
        <a:srgbClr val="AA0061"/>
      </a:accent4>
      <a:accent5>
        <a:srgbClr val="0085CA"/>
      </a:accent5>
      <a:accent6>
        <a:srgbClr val="B5BD00"/>
      </a:accent6>
      <a:hlink>
        <a:srgbClr val="15234A"/>
      </a:hlink>
      <a:folHlink>
        <a:srgbClr val="91D6AC"/>
      </a:folHlink>
    </a:clrScheme>
    <a:fontScheme name="Century Gothic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luxys" id="{C72BAC4F-96AB-4933-A6A6-7480B22A4C8F}" vid="{E1B2E64B-522C-433B-8A80-09EDA77738A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1CB8312D219942BC824EEF161C2CB2" ma:contentTypeVersion="18" ma:contentTypeDescription="Create a new document." ma:contentTypeScope="" ma:versionID="404405be70ff4f72f6059775bc78be72">
  <xsd:schema xmlns:xsd="http://www.w3.org/2001/XMLSchema" xmlns:xs="http://www.w3.org/2001/XMLSchema" xmlns:p="http://schemas.microsoft.com/office/2006/metadata/properties" xmlns:ns2="ccf777fe-e888-491d-ae9d-fa6b82799b87" xmlns:ns3="b3ba7ad7-651a-4e32-920f-6cc464a3cc62" xmlns:ns4="6426f1b9-572b-4b0f-a7df-4977a01c8c81" targetNamespace="http://schemas.microsoft.com/office/2006/metadata/properties" ma:root="true" ma:fieldsID="54e58177e339a379e291f2ffddf67b33" ns2:_="" ns3:_="" ns4:_="">
    <xsd:import namespace="ccf777fe-e888-491d-ae9d-fa6b82799b87"/>
    <xsd:import namespace="b3ba7ad7-651a-4e32-920f-6cc464a3cc62"/>
    <xsd:import namespace="6426f1b9-572b-4b0f-a7df-4977a01c8c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4:TaxCatchAll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OCR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777fe-e888-491d-ae9d-fa6b82799b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47c8aa0-0b1a-4dd4-ad61-798df82313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ba7ad7-651a-4e32-920f-6cc464a3cc6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26f1b9-572b-4b0f-a7df-4977a01c8c81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9a2ae2dc-2872-4b96-a0a7-a3f9e561eb1e}" ma:internalName="TaxCatchAll" ma:showField="CatchAllData" ma:web="b3ba7ad7-651a-4e32-920f-6cc464a3cc6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426f1b9-572b-4b0f-a7df-4977a01c8c81" xsi:nil="true"/>
    <lcf76f155ced4ddcb4097134ff3c332f xmlns="ccf777fe-e888-491d-ae9d-fa6b82799b8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C8D2D9C-D12F-4AB0-B732-56B1776DC9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FF2FA3-75FA-42B7-B574-1ABB714414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f777fe-e888-491d-ae9d-fa6b82799b87"/>
    <ds:schemaRef ds:uri="b3ba7ad7-651a-4e32-920f-6cc464a3cc62"/>
    <ds:schemaRef ds:uri="6426f1b9-572b-4b0f-a7df-4977a01c8c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FAABB48-2868-4F89-8307-6C3118C5ADD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8A3DD91-06AD-4ED3-90FC-54A0942A2A4D}">
  <ds:schemaRefs>
    <ds:schemaRef ds:uri="http://schemas.microsoft.com/office/2006/metadata/properties"/>
    <ds:schemaRef ds:uri="http://schemas.microsoft.com/office/infopath/2007/PartnerControls"/>
    <ds:schemaRef ds:uri="6426f1b9-572b-4b0f-a7df-4977a01c8c81"/>
    <ds:schemaRef ds:uri="ccf777fe-e888-491d-ae9d-fa6b82799b8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1_Fluxys_general_word_template</Template>
  <TotalTime>0</TotalTime>
  <Pages>4</Pages>
  <Words>879</Words>
  <Characters>5016</Characters>
  <Application>Microsoft Office Word</Application>
  <DocSecurity>0</DocSecurity>
  <Lines>41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Cauwe Simon</dc:creator>
  <cp:keywords/>
  <dc:description/>
  <cp:lastModifiedBy>Degroote Quentin</cp:lastModifiedBy>
  <cp:revision>175</cp:revision>
  <dcterms:created xsi:type="dcterms:W3CDTF">2023-11-10T07:13:00Z</dcterms:created>
  <dcterms:modified xsi:type="dcterms:W3CDTF">2023-11-14T14:23:00Z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0x010100E01CB8312D219942BC824EEF161C2CB2</vt:lpwstr>
  </property>
  <property fmtid="{D5CDD505-2E9C-101B-9397-08002B2CF9AE}" pid="3" name="MediaServiceImageTags">
    <vt:lpwstr/>
  </property>
</Properties>
</file>